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auto"/>
          <w:sz w:val="24"/>
          <w:szCs w:val="24"/>
          <w:lang w:eastAsia="ru-RU"/>
        </w:rPr>
      </w:pPr>
      <w:r w:rsidRPr="000C7257">
        <w:rPr>
          <w:rFonts w:ascii="Times New Roman" w:eastAsia="Times New Roman" w:hAnsi="Times New Roman" w:cs="Times New Roman"/>
          <w:b/>
          <w:bCs/>
          <w:color w:val="auto"/>
          <w:sz w:val="24"/>
          <w:szCs w:val="24"/>
          <w:lang w:eastAsia="ru-RU"/>
        </w:rPr>
        <w:t>ПРИМІТКИ</w:t>
      </w:r>
    </w:p>
    <w:p w:rsidR="00E10AF7" w:rsidRPr="000C7257" w:rsidRDefault="00E10AF7" w:rsidP="00E10AF7">
      <w:pPr>
        <w:spacing w:before="0" w:after="0" w:line="240" w:lineRule="auto"/>
        <w:ind w:left="0" w:right="0" w:firstLine="0"/>
        <w:jc w:val="center"/>
        <w:rPr>
          <w:rFonts w:ascii="Times New Roman" w:eastAsia="Times New Roman" w:hAnsi="Times New Roman" w:cs="Times New Roman"/>
          <w:b/>
          <w:bCs/>
          <w:color w:val="auto"/>
          <w:sz w:val="24"/>
          <w:szCs w:val="24"/>
          <w:lang w:eastAsia="ru-RU"/>
        </w:rPr>
      </w:pPr>
      <w:r w:rsidRPr="000C7257">
        <w:rPr>
          <w:rFonts w:ascii="Times New Roman" w:eastAsia="Times New Roman" w:hAnsi="Times New Roman" w:cs="Times New Roman"/>
          <w:b/>
          <w:bCs/>
          <w:color w:val="auto"/>
          <w:sz w:val="24"/>
          <w:szCs w:val="24"/>
          <w:lang w:eastAsia="ru-RU"/>
        </w:rPr>
        <w:t xml:space="preserve">до фінансової звітності </w:t>
      </w: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auto"/>
          <w:sz w:val="24"/>
          <w:szCs w:val="24"/>
          <w:lang w:eastAsia="en-US"/>
        </w:rPr>
      </w:pPr>
      <w:r w:rsidRPr="000C7257">
        <w:rPr>
          <w:rFonts w:ascii="Times New Roman" w:eastAsia="Times New Roman" w:hAnsi="Times New Roman" w:cs="Times New Roman"/>
          <w:b/>
          <w:bCs/>
          <w:color w:val="auto"/>
          <w:sz w:val="24"/>
          <w:szCs w:val="24"/>
          <w:lang w:eastAsia="en-US"/>
        </w:rPr>
        <w:t>Повного товариства «ЛОМБАРД «НАЛИВАЙКО І КОМПАНІЯ»</w:t>
      </w: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auto"/>
          <w:sz w:val="24"/>
          <w:szCs w:val="24"/>
          <w:lang w:eastAsia="ru-RU"/>
        </w:rPr>
      </w:pPr>
      <w:r w:rsidRPr="000C7257">
        <w:rPr>
          <w:rFonts w:ascii="Times New Roman" w:eastAsia="Times New Roman" w:hAnsi="Times New Roman" w:cs="Times New Roman"/>
          <w:b/>
          <w:bCs/>
          <w:color w:val="auto"/>
          <w:sz w:val="24"/>
          <w:szCs w:val="24"/>
          <w:lang w:eastAsia="ru-RU"/>
        </w:rPr>
        <w:t>за 2017 рік</w:t>
      </w:r>
    </w:p>
    <w:p w:rsidR="00E10AF7" w:rsidRPr="000C7257" w:rsidRDefault="00E10AF7" w:rsidP="00E10AF7">
      <w:pPr>
        <w:spacing w:before="0" w:after="0" w:line="240" w:lineRule="auto"/>
        <w:ind w:left="0" w:right="0" w:firstLine="0"/>
        <w:jc w:val="center"/>
        <w:rPr>
          <w:rFonts w:ascii="Times New Roman" w:eastAsia="Times New Roman" w:hAnsi="Times New Roman" w:cs="Times New Roman"/>
          <w:b/>
          <w:bCs/>
          <w:color w:val="auto"/>
          <w:sz w:val="24"/>
          <w:szCs w:val="24"/>
          <w:lang w:eastAsia="ru-RU"/>
        </w:rPr>
      </w:pPr>
    </w:p>
    <w:p w:rsidR="00E10AF7" w:rsidRPr="000C7257" w:rsidRDefault="00E10AF7" w:rsidP="00E10AF7">
      <w:pPr>
        <w:spacing w:before="0" w:after="0" w:line="240" w:lineRule="auto"/>
        <w:ind w:left="0" w:right="0" w:firstLine="0"/>
        <w:jc w:val="center"/>
        <w:rPr>
          <w:rFonts w:ascii="Times New Roman" w:eastAsia="Times New Roman" w:hAnsi="Times New Roman" w:cs="Times New Roman"/>
          <w:b/>
          <w:bCs/>
          <w:color w:val="auto"/>
          <w:sz w:val="24"/>
          <w:szCs w:val="24"/>
          <w:lang w:eastAsia="ru-RU"/>
        </w:rPr>
      </w:pPr>
      <w:r w:rsidRPr="000C7257">
        <w:rPr>
          <w:rFonts w:ascii="Times New Roman" w:eastAsia="Times New Roman" w:hAnsi="Times New Roman" w:cs="Times New Roman"/>
          <w:b/>
          <w:bCs/>
          <w:color w:val="auto"/>
          <w:sz w:val="24"/>
          <w:szCs w:val="24"/>
          <w:lang w:eastAsia="ru-RU"/>
        </w:rPr>
        <w:t>1.  ЗАГАЛЬНІ ВІДОМОСТІ</w:t>
      </w:r>
    </w:p>
    <w:p w:rsidR="00E10AF7" w:rsidRPr="000C7257" w:rsidRDefault="00E10AF7" w:rsidP="00E10AF7">
      <w:pPr>
        <w:widowControl w:val="0"/>
        <w:spacing w:before="0" w:after="0" w:line="240" w:lineRule="auto"/>
        <w:ind w:left="0" w:right="2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en-US"/>
        </w:rPr>
        <w:t>Повне товариство «ЛОМБАРД «НАЛИВАЙКО І КОМПАНІЯ»</w:t>
      </w:r>
      <w:r w:rsidRPr="000C7257">
        <w:rPr>
          <w:rFonts w:ascii="Times New Roman" w:eastAsia="Times New Roman" w:hAnsi="Times New Roman" w:cs="Times New Roman"/>
          <w:color w:val="auto"/>
          <w:sz w:val="24"/>
          <w:szCs w:val="24"/>
          <w:lang w:eastAsia="ru-RU"/>
        </w:rPr>
        <w:t xml:space="preserve">(далі Товариство)зареєстроване в установленому законодавством порядку, створене та діє на підставі чинного законодавства України, зокрема: Цивільного кодексу України, Господарського кодексу України та Закону України «Про господарські товариства», Закону України «Про фінансові послуги та державне регулювання ринків фінансових послуг». </w:t>
      </w:r>
    </w:p>
    <w:p w:rsidR="00E10AF7" w:rsidRPr="000C7257" w:rsidRDefault="00E10AF7" w:rsidP="00E10AF7">
      <w:pPr>
        <w:widowControl w:val="0"/>
        <w:spacing w:before="0" w:after="0" w:line="240" w:lineRule="auto"/>
        <w:ind w:left="0" w:right="20" w:firstLine="0"/>
        <w:rPr>
          <w:rFonts w:ascii="Times New Roman" w:eastAsia="Times New Roman" w:hAnsi="Times New Roman" w:cs="Times New Roman"/>
          <w:color w:val="auto"/>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8"/>
        <w:gridCol w:w="7058"/>
      </w:tblGrid>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Повна назва</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ПОВНЕ ТОВАРИСТВО "ЛОМБАРД НАЛИВАЙКО І КОМПАНІЯ "</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Код за ЄДРПОУ</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33523495</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Місцезнаходження</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 xml:space="preserve">51935, Дніпропетровська обл., місто </w:t>
            </w:r>
            <w:proofErr w:type="spellStart"/>
            <w:r w:rsidRPr="000C7257">
              <w:rPr>
                <w:rFonts w:ascii="Times New Roman" w:eastAsia="Times New Roman" w:hAnsi="Times New Roman" w:cs="Times New Roman"/>
                <w:color w:val="auto"/>
                <w:sz w:val="22"/>
                <w:lang w:eastAsia="en-US"/>
              </w:rPr>
              <w:t>Кам</w:t>
            </w:r>
            <w:proofErr w:type="spellEnd"/>
            <w:r w:rsidRPr="000C7257">
              <w:rPr>
                <w:rFonts w:ascii="Times New Roman" w:eastAsia="Times New Roman" w:hAnsi="Times New Roman" w:cs="Times New Roman"/>
                <w:color w:val="auto"/>
                <w:sz w:val="22"/>
                <w:lang w:val="ru-RU" w:eastAsia="en-US"/>
              </w:rPr>
              <w:t>`</w:t>
            </w:r>
            <w:proofErr w:type="spellStart"/>
            <w:r w:rsidRPr="000C7257">
              <w:rPr>
                <w:rFonts w:ascii="Times New Roman" w:eastAsia="Times New Roman" w:hAnsi="Times New Roman" w:cs="Times New Roman"/>
                <w:color w:val="auto"/>
                <w:sz w:val="22"/>
                <w:lang w:val="ru-RU" w:eastAsia="en-US"/>
              </w:rPr>
              <w:t>янське</w:t>
            </w:r>
            <w:proofErr w:type="spellEnd"/>
            <w:r w:rsidRPr="000C7257">
              <w:rPr>
                <w:rFonts w:ascii="Times New Roman" w:eastAsia="Times New Roman" w:hAnsi="Times New Roman" w:cs="Times New Roman"/>
                <w:color w:val="auto"/>
                <w:sz w:val="22"/>
                <w:lang w:eastAsia="en-US"/>
              </w:rPr>
              <w:t>, вулиця Глаголєва, будинок 25</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Дата державної реєстрації</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07.06.2005</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ru-RU"/>
              </w:rPr>
              <w:t>Основний вид економічної діяльності за КВЕД-2010</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64.99 Надання інших фінансових послуг (крім страхування та пенсійного забезпечення), н. в. і. у.</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Чисельність штатних працівників на 31.12. 2017р.</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highlight w:val="yellow"/>
                <w:lang w:eastAsia="en-US"/>
              </w:rPr>
            </w:pPr>
            <w:r w:rsidRPr="000C7257">
              <w:rPr>
                <w:rFonts w:ascii="Times New Roman" w:eastAsia="Times New Roman" w:hAnsi="Times New Roman" w:cs="Times New Roman"/>
                <w:color w:val="auto"/>
                <w:sz w:val="22"/>
                <w:lang w:eastAsia="en-US"/>
              </w:rPr>
              <w:t>22</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Наявність свідоцтв на здійснення діяльності:</w:t>
            </w:r>
          </w:p>
        </w:tc>
        <w:tc>
          <w:tcPr>
            <w:tcW w:w="7088" w:type="dxa"/>
            <w:shd w:val="clear" w:color="auto" w:fill="auto"/>
          </w:tcPr>
          <w:p w:rsidR="00E10AF7" w:rsidRPr="000C7257" w:rsidRDefault="00E10AF7" w:rsidP="00B465E6">
            <w:pPr>
              <w:tabs>
                <w:tab w:val="left" w:pos="900"/>
              </w:tabs>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Свідоцтво про реєстрацію фінансової установи, видане Державною комісією з регулювання ринків фінансових послуг України розпорядженням комісії від 26.08.2005р. №4486; реєстраційний номер 15101620; серія та номер свідоцтва ЛД№316; код фінансової установи – 15; Ліцензія на здійснення діяльності</w:t>
            </w:r>
          </w:p>
        </w:tc>
      </w:tr>
      <w:tr w:rsidR="00E10AF7" w:rsidRPr="000C7257" w:rsidTr="00B465E6">
        <w:tc>
          <w:tcPr>
            <w:tcW w:w="2943"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Учасники Товариства</w:t>
            </w:r>
          </w:p>
        </w:tc>
        <w:tc>
          <w:tcPr>
            <w:tcW w:w="7088"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b/>
                <w:bCs/>
                <w:color w:val="auto"/>
                <w:sz w:val="22"/>
                <w:lang w:eastAsia="en-US"/>
              </w:rPr>
            </w:pPr>
            <w:r w:rsidRPr="000C7257">
              <w:rPr>
                <w:rFonts w:ascii="Times New Roman" w:eastAsia="Times New Roman" w:hAnsi="Times New Roman" w:cs="Times New Roman"/>
                <w:color w:val="auto"/>
                <w:sz w:val="22"/>
                <w:lang w:eastAsia="en-US"/>
              </w:rPr>
              <w:t>Наливайко Михайло Олександрович - частка 90,1%</w:t>
            </w:r>
          </w:p>
          <w:p w:rsidR="00E10AF7" w:rsidRPr="000C7257" w:rsidRDefault="00E10AF7" w:rsidP="00B465E6">
            <w:pPr>
              <w:spacing w:before="0" w:after="0" w:line="240" w:lineRule="auto"/>
              <w:ind w:left="0" w:right="0" w:firstLine="0"/>
              <w:rPr>
                <w:rFonts w:ascii="Times New Roman" w:eastAsia="Times New Roman" w:hAnsi="Times New Roman" w:cs="Times New Roman"/>
                <w:b/>
                <w:bCs/>
                <w:color w:val="auto"/>
                <w:sz w:val="22"/>
                <w:lang w:eastAsia="en-US"/>
              </w:rPr>
            </w:pPr>
            <w:r w:rsidRPr="000C7257">
              <w:rPr>
                <w:rFonts w:ascii="Times New Roman" w:eastAsia="Times New Roman" w:hAnsi="Times New Roman" w:cs="Times New Roman"/>
                <w:color w:val="auto"/>
                <w:sz w:val="22"/>
                <w:lang w:eastAsia="en-US"/>
              </w:rPr>
              <w:t>Наливайко Василь Олександрович -    частка    9,9%.</w:t>
            </w:r>
          </w:p>
        </w:tc>
      </w:tr>
    </w:tbl>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Виконавчий орган – директор; дочірніх та асоційованих компаній, відокремлених підрозділів (філій та представництв), що складають окрему фінансову звітність,  немає.</w:t>
      </w:r>
    </w:p>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 xml:space="preserve">До складу Товариства входять відокремлені підрозділи без створення юридичної особи , які не мають окремого самостійного балансу </w:t>
      </w:r>
      <w:proofErr w:type="spellStart"/>
      <w:r w:rsidRPr="000C7257">
        <w:rPr>
          <w:rFonts w:ascii="Times New Roman" w:eastAsia="Times New Roman" w:hAnsi="Times New Roman" w:cs="Times New Roman"/>
          <w:color w:val="auto"/>
          <w:sz w:val="24"/>
          <w:szCs w:val="24"/>
          <w:lang w:eastAsia="ru-RU"/>
        </w:rPr>
        <w:t>.Товариство</w:t>
      </w:r>
      <w:proofErr w:type="spellEnd"/>
      <w:r w:rsidRPr="000C7257">
        <w:rPr>
          <w:rFonts w:ascii="Times New Roman" w:eastAsia="Times New Roman" w:hAnsi="Times New Roman" w:cs="Times New Roman"/>
          <w:color w:val="auto"/>
          <w:sz w:val="24"/>
          <w:szCs w:val="24"/>
          <w:lang w:eastAsia="ru-RU"/>
        </w:rPr>
        <w:t xml:space="preserve"> та відокремлені підрозділи  здійснюють ломбардну діяльність по наданню фінансових кредитів фізичним особам за рахунок власних коштів, під заставу майна на визначений строк і під процент та надання супутніх послуг ломбарду.  </w:t>
      </w:r>
    </w:p>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16 лютого 2018 року цю фінансову звітність затверджено для випуску директором Товариства та затверджено річними зборами учасників для оприлюднення Протокол №2 від 16 лютого 2018 року.</w:t>
      </w:r>
    </w:p>
    <w:p w:rsidR="00E10AF7" w:rsidRPr="000C7257" w:rsidRDefault="00E10AF7" w:rsidP="00E10AF7">
      <w:pPr>
        <w:numPr>
          <w:ilvl w:val="0"/>
          <w:numId w:val="2"/>
        </w:numPr>
        <w:spacing w:before="0" w:after="0" w:line="240" w:lineRule="auto"/>
        <w:ind w:right="0"/>
        <w:jc w:val="center"/>
        <w:rPr>
          <w:rFonts w:ascii="Times New Roman" w:eastAsia="Times New Roman" w:hAnsi="Times New Roman" w:cs="Times New Roman"/>
          <w:b/>
          <w:bCs/>
          <w:color w:val="auto"/>
          <w:sz w:val="24"/>
          <w:szCs w:val="24"/>
          <w:lang w:eastAsia="ru-RU"/>
        </w:rPr>
      </w:pPr>
      <w:r w:rsidRPr="000C7257">
        <w:rPr>
          <w:rFonts w:ascii="Times New Roman" w:eastAsia="Times New Roman" w:hAnsi="Times New Roman" w:cs="Times New Roman"/>
          <w:b/>
          <w:bCs/>
          <w:color w:val="auto"/>
          <w:sz w:val="24"/>
          <w:szCs w:val="24"/>
          <w:lang w:eastAsia="ru-RU"/>
        </w:rPr>
        <w:t>ОСНОВА СКЛАДАННЯ ФІНАНСОВОЇ ЗВІТНОСТІ</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color w:val="auto"/>
          <w:sz w:val="24"/>
          <w:szCs w:val="24"/>
          <w:lang w:eastAsia="ru-RU"/>
        </w:rPr>
        <w:t>Заява про відповідність</w:t>
      </w:r>
    </w:p>
    <w:p w:rsidR="00E10AF7" w:rsidRPr="000C7257" w:rsidRDefault="00E10AF7" w:rsidP="00E10AF7">
      <w:pPr>
        <w:widowControl w:val="0"/>
        <w:shd w:val="clear" w:color="auto" w:fill="FFFFFF"/>
        <w:spacing w:before="0" w:after="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 xml:space="preserve">Фінансову звітність </w:t>
      </w:r>
      <w:r w:rsidRPr="000C7257">
        <w:rPr>
          <w:rFonts w:ascii="Times New Roman" w:eastAsia="Times New Roman" w:hAnsi="Times New Roman" w:cs="Times New Roman"/>
          <w:color w:val="auto"/>
          <w:sz w:val="24"/>
          <w:szCs w:val="24"/>
          <w:lang w:eastAsia="en-US"/>
        </w:rPr>
        <w:t xml:space="preserve">Повного товариства «ЛОМБАРД «НАЛИВАЙКО І КОМПАНІЯ» </w:t>
      </w:r>
      <w:r w:rsidRPr="000C7257">
        <w:rPr>
          <w:rFonts w:ascii="Times New Roman" w:eastAsia="Times New Roman" w:hAnsi="Times New Roman" w:cs="Times New Roman"/>
          <w:color w:val="auto"/>
          <w:sz w:val="24"/>
          <w:szCs w:val="24"/>
          <w:lang w:eastAsia="ru-RU"/>
        </w:rPr>
        <w:t xml:space="preserve">за 2017 календарний рік складено відповідно до вимог міжнародних стандартів фінансової звітності (МСФЗ) та чинного законодавства України. </w:t>
      </w:r>
    </w:p>
    <w:p w:rsidR="00E10AF7" w:rsidRPr="000C7257" w:rsidRDefault="00E10AF7" w:rsidP="00E10AF7">
      <w:pPr>
        <w:widowControl w:val="0"/>
        <w:shd w:val="clear" w:color="auto" w:fill="FFFFFF"/>
        <w:spacing w:before="0" w:after="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 xml:space="preserve">Для складання фінансової звітності за МСФЗ застосовуються МСФЗ, чинні для фінансової звітності за періоди, що починаються з 01.01.2017р., офіційний переклад яких оприлюднений на </w:t>
      </w:r>
      <w:proofErr w:type="spellStart"/>
      <w:r w:rsidRPr="000C7257">
        <w:rPr>
          <w:rFonts w:ascii="Times New Roman" w:eastAsia="Times New Roman" w:hAnsi="Times New Roman" w:cs="Times New Roman"/>
          <w:color w:val="auto"/>
          <w:sz w:val="24"/>
          <w:szCs w:val="24"/>
          <w:lang w:eastAsia="ru-RU"/>
        </w:rPr>
        <w:t>веб-сайті</w:t>
      </w:r>
      <w:proofErr w:type="spellEnd"/>
      <w:r w:rsidRPr="000C7257">
        <w:rPr>
          <w:rFonts w:ascii="Times New Roman" w:eastAsia="Times New Roman" w:hAnsi="Times New Roman" w:cs="Times New Roman"/>
          <w:color w:val="auto"/>
          <w:sz w:val="24"/>
          <w:szCs w:val="24"/>
          <w:lang w:eastAsia="ru-RU"/>
        </w:rPr>
        <w:t xml:space="preserve"> Міністерства фінансів України в порядку, визначеному законодавством України. МСФЗ, що набувають чинності у наступних періодах, для яких передбачена можливість добровільного дострокового застосування, не застосовуються до дати їх введення в дію.</w:t>
      </w:r>
    </w:p>
    <w:p w:rsidR="00E10AF7" w:rsidRPr="000C7257" w:rsidRDefault="00E10AF7" w:rsidP="00E10AF7">
      <w:pPr>
        <w:widowControl w:val="0"/>
        <w:shd w:val="clear" w:color="auto" w:fill="FFFFFF"/>
        <w:spacing w:before="0" w:after="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Річна фінансова звітність Товариства складається з наступних компонентів:</w:t>
      </w:r>
    </w:p>
    <w:p w:rsidR="00E10AF7" w:rsidRPr="000C7257" w:rsidRDefault="00E10AF7" w:rsidP="00E10AF7">
      <w:pPr>
        <w:widowControl w:val="0"/>
        <w:shd w:val="clear" w:color="auto" w:fill="FFFFFF"/>
        <w:spacing w:before="0" w:after="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Звіт про фінансовий стан на кінець року; Звіт про сукупні доходи за період; Звіт про зміни у власному капіталі за період; Звіт про рух грошових коштів за період; Примітки до фінансової звітності, включаючи опис суттєвих облікових політик.</w:t>
      </w:r>
    </w:p>
    <w:p w:rsidR="00E10AF7" w:rsidRPr="000C7257" w:rsidRDefault="00E10AF7" w:rsidP="00E10AF7">
      <w:pPr>
        <w:widowControl w:val="0"/>
        <w:shd w:val="clear" w:color="auto" w:fill="FFFFFF"/>
        <w:spacing w:before="0" w:after="120" w:line="240" w:lineRule="auto"/>
        <w:ind w:left="0" w:right="23" w:firstLine="0"/>
        <w:rPr>
          <w:rFonts w:ascii="Times New Roman" w:eastAsia="Times New Roman" w:hAnsi="Times New Roman" w:cs="Times New Roman"/>
          <w:color w:val="auto"/>
          <w:sz w:val="24"/>
          <w:szCs w:val="24"/>
          <w:lang w:val="ru-RU" w:eastAsia="ru-RU"/>
        </w:rPr>
      </w:pPr>
      <w:r w:rsidRPr="000C7257">
        <w:rPr>
          <w:rFonts w:ascii="Times New Roman" w:eastAsia="Times New Roman" w:hAnsi="Times New Roman" w:cs="Times New Roman"/>
          <w:color w:val="auto"/>
          <w:sz w:val="24"/>
          <w:szCs w:val="24"/>
          <w:lang w:eastAsia="ru-RU"/>
        </w:rPr>
        <w:t xml:space="preserve">Під час формування статей фінансової звітності за МСФЗ показники відображено у типових </w:t>
      </w:r>
      <w:r w:rsidRPr="000C7257">
        <w:rPr>
          <w:rFonts w:ascii="Times New Roman" w:eastAsia="Times New Roman" w:hAnsi="Times New Roman" w:cs="Times New Roman"/>
          <w:color w:val="auto"/>
          <w:sz w:val="24"/>
          <w:szCs w:val="24"/>
          <w:lang w:eastAsia="ru-RU"/>
        </w:rPr>
        <w:lastRenderedPageBreak/>
        <w:t>формах, затверджених національними положеннями бухгалтерського обліку.</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color w:val="auto"/>
          <w:sz w:val="24"/>
          <w:szCs w:val="24"/>
          <w:lang w:eastAsia="ru-RU"/>
        </w:rPr>
        <w:t>Основа складання фінансової звітності</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Річну фінансову звітність Товариства складено на основі даних бухгалтерського обліку згідно з вимогами МСФЗ, на основі історичної собівартості стосовно одного суб’єкта господарювання.</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color w:val="auto"/>
          <w:sz w:val="24"/>
          <w:szCs w:val="24"/>
          <w:lang w:eastAsia="ru-RU"/>
        </w:rPr>
        <w:t>Функціональна валюта та валюта звітності</w:t>
      </w:r>
    </w:p>
    <w:p w:rsidR="00E10AF7" w:rsidRPr="000C7257" w:rsidRDefault="00E10AF7" w:rsidP="00E10AF7">
      <w:pPr>
        <w:widowControl w:val="0"/>
        <w:shd w:val="clear" w:color="auto" w:fill="FFFFFF"/>
        <w:spacing w:before="0" w:after="12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Функціональна валюта та валюті звітності – гривня. Одиниця виміру – тисячі гривень, якщо не зазначено інше.</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color w:val="auto"/>
          <w:sz w:val="24"/>
          <w:szCs w:val="24"/>
          <w:lang w:eastAsia="ru-RU"/>
        </w:rPr>
        <w:t>Припущення щодо функціонування Товариства в найближчому майбутньому</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Фінансова звітність Товариства підготовлена на основі припущення, що воно функціонуватиме невизначено довго в майбутньому. Це припущення передбачає реалізацію активів i виконання зобов'язань в ході звичайної діяльності.</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Тому фінансова звітність не містить будь-яких коригувань відображених сум активів, які були б необхідні, якби Товариство було неспроможним продовжувати свою діяльність в майбутньому, i якби воно реалізовувало свої активи не в ході звичайної діяльності. Про такі коригування буде повідомлено, якщо вони стануть відомі і зможуть бути оцінені.</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color w:val="auto"/>
          <w:sz w:val="24"/>
          <w:szCs w:val="24"/>
          <w:lang w:eastAsia="ru-RU"/>
        </w:rPr>
        <w:t>Застосування нових стандартів та інтерпретацій</w:t>
      </w:r>
    </w:p>
    <w:p w:rsidR="00E10AF7" w:rsidRPr="000C7257" w:rsidRDefault="00E10AF7" w:rsidP="00E10AF7">
      <w:pPr>
        <w:spacing w:before="120" w:after="0" w:line="240" w:lineRule="auto"/>
        <w:ind w:left="0" w:right="0" w:firstLine="0"/>
        <w:rPr>
          <w:rFonts w:ascii="Times New Roman" w:eastAsia="Times New Roman" w:hAnsi="Times New Roman" w:cs="Times New Roman"/>
          <w:b/>
          <w:bCs/>
          <w:i/>
          <w:iCs/>
          <w:color w:val="000000"/>
          <w:kern w:val="24"/>
          <w:sz w:val="24"/>
          <w:szCs w:val="24"/>
          <w:lang w:eastAsia="en-US"/>
        </w:rPr>
      </w:pPr>
      <w:r w:rsidRPr="000C7257">
        <w:rPr>
          <w:rFonts w:ascii="Times New Roman" w:eastAsia="Times New Roman" w:hAnsi="Times New Roman" w:cs="Times New Roman"/>
          <w:b/>
          <w:bCs/>
          <w:i/>
          <w:iCs/>
          <w:color w:val="000000"/>
          <w:kern w:val="24"/>
          <w:sz w:val="24"/>
          <w:szCs w:val="24"/>
          <w:lang w:eastAsia="en-US"/>
        </w:rPr>
        <w:t>Перелік стандартів, які вперше застосовувалися в даному періоді та їх вплив на фінансову звітність</w:t>
      </w:r>
    </w:p>
    <w:p w:rsidR="00E10AF7" w:rsidRPr="000C7257" w:rsidRDefault="00E10AF7" w:rsidP="00E10AF7">
      <w:pPr>
        <w:spacing w:before="120" w:after="120" w:line="240" w:lineRule="auto"/>
        <w:ind w:left="0" w:right="0" w:firstLine="0"/>
        <w:rPr>
          <w:rFonts w:ascii="Times New Roman" w:eastAsia="Times New Roman" w:hAnsi="Times New Roman" w:cs="Times New Roman"/>
          <w:color w:val="FF0000"/>
          <w:sz w:val="24"/>
          <w:szCs w:val="24"/>
          <w:lang w:eastAsia="ru-RU"/>
        </w:rPr>
      </w:pPr>
      <w:r w:rsidRPr="000C7257">
        <w:rPr>
          <w:rFonts w:ascii="Times New Roman" w:eastAsia="Times New Roman" w:hAnsi="Times New Roman" w:cs="Times New Roman"/>
          <w:color w:val="auto"/>
          <w:sz w:val="24"/>
          <w:szCs w:val="24"/>
          <w:lang w:eastAsia="ru-RU"/>
        </w:rPr>
        <w:t>У наведеній нижче таблиці міститься перелік нових стандартів чи змін до них та тлумачень стандартів, доречних для діяльності Товариства, які набули чинності для фінансових звітів за рік, що починається 1 січня 2017. Застосування цих стандартів не має суттєвого впливу на фінансовий стан чи показники діяльності Товариства.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363"/>
      </w:tblGrid>
      <w:tr w:rsidR="00E10AF7" w:rsidRPr="000C7257" w:rsidTr="00B465E6">
        <w:tc>
          <w:tcPr>
            <w:tcW w:w="9889" w:type="dxa"/>
            <w:gridSpan w:val="2"/>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Нові чи змінені стандарти та тлумачення</w:t>
            </w:r>
          </w:p>
        </w:tc>
      </w:tr>
      <w:tr w:rsidR="00E10AF7" w:rsidRPr="000C7257" w:rsidTr="00B465E6">
        <w:tc>
          <w:tcPr>
            <w:tcW w:w="1526"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sz w:val="22"/>
                <w:lang w:eastAsia="en-US"/>
              </w:rPr>
              <w:t>МСФЗ 12</w:t>
            </w:r>
          </w:p>
        </w:tc>
        <w:tc>
          <w:tcPr>
            <w:tcW w:w="836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kern w:val="24"/>
                <w:sz w:val="22"/>
                <w:lang w:eastAsia="en-US"/>
              </w:rPr>
            </w:pPr>
            <w:r w:rsidRPr="000C7257">
              <w:rPr>
                <w:rFonts w:ascii="Times New Roman" w:eastAsia="Times New Roman" w:hAnsi="Times New Roman" w:cs="Times New Roman"/>
                <w:color w:val="auto"/>
                <w:kern w:val="24"/>
                <w:sz w:val="22"/>
                <w:lang w:eastAsia="en-US"/>
              </w:rPr>
              <w:t xml:space="preserve">"Розкриття інформації про частки участі в інших суб'єктах господарювання". Поправка з метою уточнення того, що з певними винятками вимоги МСФЗ 12 </w:t>
            </w:r>
          </w:p>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2"/>
                <w:lang w:eastAsia="en-US"/>
              </w:rPr>
            </w:pPr>
            <w:r w:rsidRPr="000C7257">
              <w:rPr>
                <w:rFonts w:ascii="Times New Roman" w:eastAsia="Times New Roman" w:hAnsi="Times New Roman" w:cs="Times New Roman"/>
                <w:color w:val="auto"/>
                <w:kern w:val="24"/>
                <w:sz w:val="22"/>
                <w:lang w:eastAsia="en-US"/>
              </w:rPr>
              <w:t>застосовуються до прав участі у суб’єктах господарювання, які класифікуються як утримувані для продажу або припинені операції.</w:t>
            </w:r>
          </w:p>
        </w:tc>
      </w:tr>
      <w:tr w:rsidR="00E10AF7" w:rsidRPr="000C7257" w:rsidTr="00B465E6">
        <w:tc>
          <w:tcPr>
            <w:tcW w:w="1526"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2"/>
                <w:lang w:eastAsia="en-US"/>
              </w:rPr>
            </w:pPr>
            <w:r w:rsidRPr="000C7257">
              <w:rPr>
                <w:rFonts w:ascii="Times New Roman" w:eastAsia="Times New Roman" w:hAnsi="Times New Roman" w:cs="Times New Roman"/>
                <w:color w:val="000000"/>
                <w:sz w:val="22"/>
                <w:lang w:eastAsia="en-US"/>
              </w:rPr>
              <w:t>МСБО 7</w:t>
            </w:r>
          </w:p>
        </w:tc>
        <w:tc>
          <w:tcPr>
            <w:tcW w:w="836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2"/>
                <w:lang w:eastAsia="en-US"/>
              </w:rPr>
            </w:pPr>
            <w:r w:rsidRPr="000C7257">
              <w:rPr>
                <w:rFonts w:ascii="Times New Roman" w:eastAsia="Times New Roman" w:hAnsi="Times New Roman" w:cs="Times New Roman"/>
                <w:color w:val="000000"/>
                <w:kern w:val="24"/>
                <w:sz w:val="22"/>
                <w:lang w:eastAsia="en-US"/>
              </w:rPr>
              <w:t>"Звіт про  рух грошових коштів". Поправка, що вимагає розкриття інформації про  зміни у зобов'язаннях, що виникають внаслідок фінансової діяльності.</w:t>
            </w:r>
          </w:p>
        </w:tc>
      </w:tr>
      <w:tr w:rsidR="00E10AF7" w:rsidRPr="000C7257" w:rsidTr="00B465E6">
        <w:tc>
          <w:tcPr>
            <w:tcW w:w="1526"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2"/>
                <w:lang w:eastAsia="en-US"/>
              </w:rPr>
            </w:pPr>
            <w:r w:rsidRPr="000C7257">
              <w:rPr>
                <w:rFonts w:ascii="Times New Roman" w:eastAsia="Times New Roman" w:hAnsi="Times New Roman" w:cs="Times New Roman"/>
                <w:color w:val="000000"/>
                <w:sz w:val="22"/>
                <w:lang w:eastAsia="en-US"/>
              </w:rPr>
              <w:t>МСБО 12</w:t>
            </w:r>
          </w:p>
        </w:tc>
        <w:tc>
          <w:tcPr>
            <w:tcW w:w="8363" w:type="dxa"/>
            <w:shd w:val="clear" w:color="auto" w:fill="auto"/>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2"/>
                <w:lang w:eastAsia="en-US"/>
              </w:rPr>
            </w:pPr>
            <w:r w:rsidRPr="000C7257">
              <w:rPr>
                <w:rFonts w:ascii="Times New Roman" w:eastAsia="Times New Roman" w:hAnsi="Times New Roman" w:cs="Times New Roman"/>
                <w:color w:val="000000"/>
                <w:kern w:val="24"/>
                <w:sz w:val="22"/>
                <w:lang w:eastAsia="en-US"/>
              </w:rPr>
              <w:t>"</w:t>
            </w:r>
            <w:r w:rsidRPr="000C7257">
              <w:rPr>
                <w:rFonts w:ascii="Times New Roman" w:eastAsia="Times New Roman" w:hAnsi="Times New Roman" w:cs="Times New Roman"/>
                <w:color w:val="000000"/>
                <w:sz w:val="22"/>
                <w:lang w:eastAsia="en-US"/>
              </w:rPr>
              <w:t>Податки на прибуток</w:t>
            </w:r>
            <w:r w:rsidRPr="000C7257">
              <w:rPr>
                <w:rFonts w:ascii="Times New Roman" w:eastAsia="Times New Roman" w:hAnsi="Times New Roman" w:cs="Times New Roman"/>
                <w:color w:val="000000"/>
                <w:kern w:val="24"/>
                <w:sz w:val="22"/>
                <w:lang w:eastAsia="en-US"/>
              </w:rPr>
              <w:t>".</w:t>
            </w:r>
            <w:r w:rsidRPr="000C7257">
              <w:rPr>
                <w:rFonts w:ascii="Times New Roman" w:eastAsia="Times New Roman" w:hAnsi="Times New Roman" w:cs="Times New Roman"/>
                <w:color w:val="000000"/>
                <w:sz w:val="22"/>
                <w:lang w:eastAsia="en-US"/>
              </w:rPr>
              <w:t xml:space="preserve"> Поправка з метою умов визнання відстроченого податкового активу, пов'язаного з нереалізованими збитками, наприклад, щодо боргових інструментів, оцінених за справедливою вартістю.</w:t>
            </w:r>
          </w:p>
        </w:tc>
      </w:tr>
    </w:tbl>
    <w:p w:rsidR="00E10AF7" w:rsidRPr="000C7257" w:rsidRDefault="00E10AF7" w:rsidP="00E10AF7">
      <w:pPr>
        <w:spacing w:before="120" w:after="0" w:line="240" w:lineRule="auto"/>
        <w:ind w:left="0" w:right="0" w:firstLine="0"/>
        <w:jc w:val="left"/>
        <w:rPr>
          <w:rFonts w:ascii="Times New Roman" w:eastAsia="Times New Roman" w:hAnsi="Times New Roman" w:cs="Times New Roman"/>
          <w:b/>
          <w:bCs/>
          <w:i/>
          <w:iCs/>
          <w:color w:val="000000"/>
          <w:kern w:val="24"/>
          <w:sz w:val="24"/>
          <w:szCs w:val="24"/>
          <w:lang w:eastAsia="en-US"/>
        </w:rPr>
      </w:pPr>
      <w:r w:rsidRPr="000C7257">
        <w:rPr>
          <w:rFonts w:ascii="Times New Roman" w:eastAsia="Times New Roman" w:hAnsi="Times New Roman" w:cs="Times New Roman"/>
          <w:b/>
          <w:bCs/>
          <w:i/>
          <w:iCs/>
          <w:color w:val="000000"/>
          <w:kern w:val="24"/>
          <w:sz w:val="24"/>
          <w:szCs w:val="24"/>
          <w:lang w:eastAsia="en-US"/>
        </w:rPr>
        <w:t>Перелік нових та змінених стандартів,  ще не обов’язкових для застосування</w:t>
      </w:r>
    </w:p>
    <w:p w:rsidR="00E10AF7" w:rsidRPr="000C7257" w:rsidRDefault="00E10AF7" w:rsidP="00E10AF7">
      <w:pPr>
        <w:spacing w:before="0" w:after="120" w:line="240" w:lineRule="auto"/>
        <w:ind w:left="0" w:right="0" w:firstLine="0"/>
        <w:jc w:val="left"/>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У таблиці далі наведено перелік нових чи переглянутих стандартів та тлумачень, доречних для діяльності Товариства, які ще не набрали чинності та не застосовувалися Товариством: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6379"/>
        <w:gridCol w:w="2126"/>
      </w:tblGrid>
      <w:tr w:rsidR="00E10AF7" w:rsidRPr="000C7257" w:rsidTr="00B465E6">
        <w:tc>
          <w:tcPr>
            <w:tcW w:w="7763" w:type="dxa"/>
            <w:gridSpan w:val="2"/>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Назва стандарту/тлумачення</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Дата набрання чинності</w:t>
            </w:r>
          </w:p>
        </w:tc>
      </w:tr>
      <w:tr w:rsidR="00E10AF7" w:rsidRPr="000C7257" w:rsidTr="00B465E6">
        <w:tc>
          <w:tcPr>
            <w:tcW w:w="7763" w:type="dxa"/>
            <w:gridSpan w:val="2"/>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Нові стандарти</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p>
        </w:tc>
      </w:tr>
      <w:tr w:rsidR="00E10AF7" w:rsidRPr="000C7257" w:rsidTr="00B465E6">
        <w:tc>
          <w:tcPr>
            <w:tcW w:w="1384"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МСФЗ 9</w:t>
            </w:r>
          </w:p>
        </w:tc>
        <w:tc>
          <w:tcPr>
            <w:tcW w:w="6379"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"Фінансові інструменти"</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1 Січня 2018</w:t>
            </w:r>
          </w:p>
        </w:tc>
      </w:tr>
      <w:tr w:rsidR="00E10AF7" w:rsidRPr="000C7257" w:rsidTr="00B465E6">
        <w:tc>
          <w:tcPr>
            <w:tcW w:w="1384"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МСФЗ 15</w:t>
            </w:r>
          </w:p>
        </w:tc>
        <w:tc>
          <w:tcPr>
            <w:tcW w:w="6379"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"Дохід від договорів з клієнтами"</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1 Січня 2018</w:t>
            </w:r>
          </w:p>
        </w:tc>
      </w:tr>
      <w:tr w:rsidR="00E10AF7" w:rsidRPr="000C7257" w:rsidTr="00B465E6">
        <w:tc>
          <w:tcPr>
            <w:tcW w:w="1384"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МСФЗ 16</w:t>
            </w:r>
          </w:p>
        </w:tc>
        <w:tc>
          <w:tcPr>
            <w:tcW w:w="6379"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"Оренда"</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1 Січня 2019</w:t>
            </w:r>
          </w:p>
        </w:tc>
      </w:tr>
      <w:tr w:rsidR="00E10AF7" w:rsidRPr="000C7257" w:rsidTr="00B465E6">
        <w:tc>
          <w:tcPr>
            <w:tcW w:w="7763" w:type="dxa"/>
            <w:gridSpan w:val="2"/>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Зміни до стандартів</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p>
        </w:tc>
      </w:tr>
      <w:tr w:rsidR="00E10AF7" w:rsidRPr="000C7257" w:rsidTr="00B465E6">
        <w:tc>
          <w:tcPr>
            <w:tcW w:w="1384"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МСФЗ 7</w:t>
            </w:r>
          </w:p>
        </w:tc>
        <w:tc>
          <w:tcPr>
            <w:tcW w:w="6379"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"Фінансові інструменти: розкриття інформації" (Додаткові розкриття та послідовні зміни, що випливають з МСФЗ 9)</w:t>
            </w:r>
          </w:p>
        </w:tc>
        <w:tc>
          <w:tcPr>
            <w:tcW w:w="2126" w:type="dxa"/>
            <w:shd w:val="clear" w:color="auto" w:fill="auto"/>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2"/>
                <w:lang w:eastAsia="ru-RU"/>
              </w:rPr>
            </w:pPr>
            <w:r w:rsidRPr="000C7257">
              <w:rPr>
                <w:rFonts w:ascii="Times New Roman" w:eastAsia="Times New Roman" w:hAnsi="Times New Roman" w:cs="Times New Roman"/>
                <w:color w:val="000000"/>
                <w:sz w:val="22"/>
                <w:lang w:eastAsia="ru-RU"/>
              </w:rPr>
              <w:t>Одночасно із  МСФЗ 9</w:t>
            </w:r>
          </w:p>
        </w:tc>
      </w:tr>
    </w:tbl>
    <w:p w:rsidR="00E10AF7" w:rsidRPr="000C7257" w:rsidRDefault="00E10AF7" w:rsidP="00E10AF7">
      <w:pPr>
        <w:autoSpaceDE w:val="0"/>
        <w:autoSpaceDN w:val="0"/>
        <w:adjustRightInd w:val="0"/>
        <w:spacing w:before="0" w:after="120" w:line="240" w:lineRule="auto"/>
        <w:ind w:left="0" w:right="0" w:firstLine="0"/>
        <w:jc w:val="left"/>
        <w:rPr>
          <w:rFonts w:ascii="Times New Roman" w:eastAsia="Times New Roman" w:hAnsi="Times New Roman" w:cs="Times New Roman"/>
          <w:color w:val="000000"/>
          <w:sz w:val="24"/>
          <w:szCs w:val="24"/>
          <w:lang w:val="ru-RU" w:eastAsia="ru-RU"/>
        </w:rPr>
      </w:pPr>
      <w:r w:rsidRPr="000C7257">
        <w:rPr>
          <w:rFonts w:ascii="Times New Roman" w:eastAsia="Times New Roman" w:hAnsi="Times New Roman" w:cs="Times New Roman"/>
          <w:color w:val="000000"/>
          <w:sz w:val="24"/>
          <w:szCs w:val="24"/>
          <w:lang w:eastAsia="ru-RU"/>
        </w:rPr>
        <w:t xml:space="preserve">Керівництво Товариства вважає, що впровадження цих стандартів не матиме суттєвого впливу на його загальні активи, зобов’язання або чистий прибуток. </w:t>
      </w:r>
    </w:p>
    <w:p w:rsidR="00E10AF7" w:rsidRPr="000C725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3.  ОСНОВНІ ПОЛОЖЕННЯ ОБЛІКОВОЇ ПОЛІТИКИ</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Положення  облікової  політики,  наведені далі,  застосовувалися  послідовно  в  усіх  звітних  періодах,  наведених в цій фінансовій звітності.</w:t>
      </w: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lastRenderedPageBreak/>
        <w:t>3.1. ОСНОВНІ ЗАСОБИ</w:t>
      </w:r>
    </w:p>
    <w:p w:rsidR="00E10AF7" w:rsidRPr="000C7257" w:rsidRDefault="00E10AF7" w:rsidP="00E10AF7">
      <w:pPr>
        <w:autoSpaceDE w:val="0"/>
        <w:autoSpaceDN w:val="0"/>
        <w:adjustRightInd w:val="0"/>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Первісне визнання основних засобів Товариством здійснюється за собівартістю. </w:t>
      </w:r>
      <w:proofErr w:type="spellStart"/>
      <w:r w:rsidRPr="000C7257">
        <w:rPr>
          <w:rFonts w:ascii="Times New Roman" w:eastAsia="Times New Roman" w:hAnsi="Times New Roman" w:cs="Times New Roman"/>
          <w:color w:val="000000"/>
          <w:sz w:val="24"/>
          <w:szCs w:val="24"/>
          <w:lang w:eastAsia="ru-RU"/>
        </w:rPr>
        <w:t>Післяпервісного</w:t>
      </w:r>
      <w:proofErr w:type="spellEnd"/>
      <w:r w:rsidRPr="000C7257">
        <w:rPr>
          <w:rFonts w:ascii="Times New Roman" w:eastAsia="Times New Roman" w:hAnsi="Times New Roman" w:cs="Times New Roman"/>
          <w:color w:val="000000"/>
          <w:sz w:val="24"/>
          <w:szCs w:val="24"/>
          <w:lang w:eastAsia="ru-RU"/>
        </w:rPr>
        <w:t xml:space="preserve"> визнання основні засоби обліковуються за первісною вартістю, за вирахуванням усієї накопиченої амортизації та всіх накопичених збитків від знецінення.</w:t>
      </w:r>
    </w:p>
    <w:p w:rsidR="00E10AF7" w:rsidRPr="000C7257" w:rsidRDefault="00E10AF7" w:rsidP="00E10AF7">
      <w:pPr>
        <w:spacing w:before="0" w:after="6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Вартість основних засобів, яка амортизується, розподіляється систематично протягом терміну їх корисного використання із застосуванням прямолінійного методу нарахування амортизації. Термін корисної служби основного засобу встановлюється виходячи з періоду часу, протягом якого Товариство передбачає використовувати актив. Амортизація основних засобів нараховується з часу передачі основних засобів до експлуатації. Оціночний строк корисного використання основних засобів, що використовувався у звітному періоді:</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8080"/>
        <w:gridCol w:w="1843"/>
      </w:tblGrid>
      <w:tr w:rsidR="00E10AF7" w:rsidRPr="000C7257" w:rsidTr="00B465E6">
        <w:tc>
          <w:tcPr>
            <w:tcW w:w="8080" w:type="dxa"/>
            <w:vAlign w:val="center"/>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Група основних засобів</w:t>
            </w:r>
          </w:p>
        </w:tc>
        <w:tc>
          <w:tcPr>
            <w:tcW w:w="1843" w:type="dxa"/>
            <w:vAlign w:val="center"/>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Строки експлуатації, років</w:t>
            </w:r>
          </w:p>
        </w:tc>
      </w:tr>
      <w:tr w:rsidR="00E10AF7" w:rsidRPr="000C7257" w:rsidTr="00B465E6">
        <w:tc>
          <w:tcPr>
            <w:tcW w:w="8080" w:type="dxa"/>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Машини та обладнання</w:t>
            </w:r>
          </w:p>
        </w:tc>
        <w:tc>
          <w:tcPr>
            <w:tcW w:w="1843"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5-7</w:t>
            </w:r>
          </w:p>
        </w:tc>
      </w:tr>
      <w:tr w:rsidR="00E10AF7" w:rsidRPr="000C7257" w:rsidTr="00B465E6">
        <w:tc>
          <w:tcPr>
            <w:tcW w:w="8080" w:type="dxa"/>
          </w:tcPr>
          <w:p w:rsidR="00E10AF7" w:rsidRPr="000C7257" w:rsidRDefault="00E10AF7" w:rsidP="00B465E6">
            <w:pPr>
              <w:spacing w:before="0" w:after="0" w:line="240" w:lineRule="auto"/>
              <w:ind w:left="0" w:right="0" w:firstLine="0"/>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Меблі та вбудовані елементи інженерного обладнання</w:t>
            </w:r>
          </w:p>
        </w:tc>
        <w:tc>
          <w:tcPr>
            <w:tcW w:w="1843"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4-15</w:t>
            </w:r>
          </w:p>
        </w:tc>
      </w:tr>
      <w:tr w:rsidR="00E10AF7" w:rsidRPr="000C7257" w:rsidTr="00B465E6">
        <w:trPr>
          <w:trHeight w:val="274"/>
        </w:trPr>
        <w:tc>
          <w:tcPr>
            <w:tcW w:w="8080" w:type="dxa"/>
          </w:tcPr>
          <w:p w:rsidR="00E10AF7" w:rsidRPr="000C7257" w:rsidRDefault="00E10AF7" w:rsidP="00B465E6">
            <w:pPr>
              <w:spacing w:before="0" w:after="0" w:line="240" w:lineRule="auto"/>
              <w:ind w:left="0" w:right="0" w:firstLine="0"/>
              <w:rPr>
                <w:rFonts w:ascii="Times New Roman" w:eastAsia="Times New Roman" w:hAnsi="Times New Roman" w:cs="Times New Roman"/>
                <w:noProof/>
                <w:color w:val="000000"/>
                <w:sz w:val="20"/>
                <w:szCs w:val="20"/>
                <w:lang w:eastAsia="ru-RU"/>
              </w:rPr>
            </w:pPr>
            <w:r w:rsidRPr="000C7257">
              <w:rPr>
                <w:rFonts w:ascii="Times New Roman" w:eastAsia="Times New Roman" w:hAnsi="Times New Roman" w:cs="Times New Roman"/>
                <w:noProof/>
                <w:color w:val="000000"/>
                <w:sz w:val="20"/>
                <w:szCs w:val="20"/>
                <w:lang w:eastAsia="ru-RU"/>
              </w:rPr>
              <w:t>Офісне обладнання</w:t>
            </w:r>
          </w:p>
        </w:tc>
        <w:tc>
          <w:tcPr>
            <w:tcW w:w="1843"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w:t>
            </w:r>
          </w:p>
        </w:tc>
      </w:tr>
      <w:tr w:rsidR="00E10AF7" w:rsidRPr="000C7257" w:rsidTr="00B465E6">
        <w:tc>
          <w:tcPr>
            <w:tcW w:w="8080" w:type="dxa"/>
          </w:tcPr>
          <w:p w:rsidR="00E10AF7" w:rsidRPr="000C7257" w:rsidRDefault="00E10AF7" w:rsidP="00B465E6">
            <w:pPr>
              <w:spacing w:before="0" w:after="0" w:line="240" w:lineRule="auto"/>
              <w:ind w:left="0" w:right="0" w:firstLine="0"/>
              <w:rPr>
                <w:rFonts w:ascii="Times New Roman" w:eastAsia="Times New Roman" w:hAnsi="Times New Roman" w:cs="Times New Roman"/>
                <w:noProof/>
                <w:color w:val="000000"/>
                <w:sz w:val="20"/>
                <w:szCs w:val="20"/>
                <w:lang w:eastAsia="ru-RU"/>
              </w:rPr>
            </w:pPr>
            <w:r w:rsidRPr="000C7257">
              <w:rPr>
                <w:rFonts w:ascii="Times New Roman" w:eastAsia="Times New Roman" w:hAnsi="Times New Roman" w:cs="Times New Roman"/>
                <w:color w:val="000000"/>
                <w:sz w:val="20"/>
                <w:szCs w:val="20"/>
                <w:lang w:eastAsia="ru-RU"/>
              </w:rPr>
              <w:t>Інші основні засоби</w:t>
            </w:r>
          </w:p>
        </w:tc>
        <w:tc>
          <w:tcPr>
            <w:tcW w:w="1843"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w:t>
            </w:r>
          </w:p>
        </w:tc>
      </w:tr>
    </w:tbl>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3.2. ЗАПАСИ</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Запаси оцінюють за найменшою з двох величин – собівартістю або чистою вартістю реалізації. Первісна вартість запасів визначається методом «перше надходження - перший відпуск» (ФІФО) у межах структурного підрозділу. </w:t>
      </w: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3.3. ДОХОДИ Й ВИТРАТИ</w:t>
      </w:r>
    </w:p>
    <w:p w:rsidR="00E10AF7" w:rsidRPr="000C7257" w:rsidRDefault="00E10AF7" w:rsidP="00E10AF7">
      <w:pPr>
        <w:spacing w:before="0" w:after="120" w:line="240" w:lineRule="auto"/>
        <w:ind w:left="0" w:right="0" w:hanging="11"/>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Доходи та витрати визнаються за методом нарахування. Витрати, понесені у зв'язку з отриманням доходу, визнаються у тому ж періоді, що й відповідні доходи.</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3.3.1. Доходи від надання фінансових послуг</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shd w:val="clear" w:color="auto" w:fill="F5F5F5"/>
          <w:lang w:eastAsia="ru-RU"/>
        </w:rPr>
      </w:pPr>
      <w:r w:rsidRPr="000C7257">
        <w:rPr>
          <w:rFonts w:ascii="Times New Roman" w:eastAsia="Times New Roman" w:hAnsi="Times New Roman" w:cs="Times New Roman"/>
          <w:color w:val="000000"/>
          <w:sz w:val="24"/>
          <w:szCs w:val="24"/>
          <w:lang w:eastAsia="ru-RU"/>
        </w:rPr>
        <w:t xml:space="preserve">Дохід від реалізації послуг з основної діяльності у вигляді відсотків за користування фінансовим кредитом визнається за принципом нарахування, коли існує ймовірність того, що Товариство одержить економічні вигоди, пов'язані з проведенням операції і сума доходу може бути достовірно визначена. Сума доходу визначається на основі застосування тарифів на послуги, затверджених </w:t>
      </w:r>
      <w:proofErr w:type="spellStart"/>
      <w:r w:rsidRPr="000C7257">
        <w:rPr>
          <w:rFonts w:ascii="Times New Roman" w:eastAsia="Times New Roman" w:hAnsi="Times New Roman" w:cs="Times New Roman"/>
          <w:color w:val="000000"/>
          <w:sz w:val="24"/>
          <w:szCs w:val="24"/>
          <w:lang w:eastAsia="ru-RU"/>
        </w:rPr>
        <w:t>керівництвом.</w:t>
      </w:r>
      <w:r w:rsidRPr="000C7257">
        <w:rPr>
          <w:rFonts w:ascii="Times New Roman" w:eastAsia="Times New Roman" w:hAnsi="Times New Roman" w:cs="Times New Roman"/>
          <w:color w:val="auto"/>
          <w:sz w:val="24"/>
          <w:szCs w:val="24"/>
          <w:lang w:eastAsia="ru-RU"/>
        </w:rPr>
        <w:t>Відсотки</w:t>
      </w:r>
      <w:proofErr w:type="spellEnd"/>
      <w:r w:rsidRPr="000C7257">
        <w:rPr>
          <w:rFonts w:ascii="Times New Roman" w:eastAsia="Times New Roman" w:hAnsi="Times New Roman" w:cs="Times New Roman"/>
          <w:color w:val="auto"/>
          <w:sz w:val="24"/>
          <w:szCs w:val="24"/>
          <w:lang w:eastAsia="ru-RU"/>
        </w:rPr>
        <w:t xml:space="preserve"> за надання договору фінансового кредиту нараховуються, не враховуючі перший день надання кредиту в кінці місяця . Дохід у вигляді штрафів (пені) за прострочення погашення кредиту та відсотків нараховується на дату фактичного погашення заборгованості.</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3.3.2. Реалізація заставного майна</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Доходи від реалізації заставного майна у вигляді виробів з дорогоцінних металів визнаються Товариством на дату отримання компенсації від Держскарбниці за закупівельними цінами на дорогоцінні метали в брухті.</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000000"/>
          <w:sz w:val="24"/>
          <w:szCs w:val="24"/>
          <w:lang w:eastAsia="ru-RU"/>
        </w:rPr>
        <w:t xml:space="preserve">Доходи від реалізації іншого заставного майна визнаються на дату </w:t>
      </w:r>
      <w:proofErr w:type="spellStart"/>
      <w:r w:rsidRPr="000C7257">
        <w:rPr>
          <w:rFonts w:ascii="Times New Roman" w:eastAsia="Times New Roman" w:hAnsi="Times New Roman" w:cs="Times New Roman"/>
          <w:color w:val="000000"/>
          <w:sz w:val="24"/>
          <w:szCs w:val="24"/>
          <w:lang w:eastAsia="ru-RU"/>
        </w:rPr>
        <w:t>продажу</w:t>
      </w:r>
      <w:r w:rsidRPr="000C7257">
        <w:rPr>
          <w:rFonts w:ascii="Times New Roman" w:eastAsia="Times New Roman" w:hAnsi="Times New Roman" w:cs="Times New Roman"/>
          <w:color w:val="auto"/>
          <w:sz w:val="24"/>
          <w:szCs w:val="24"/>
          <w:lang w:eastAsia="ru-RU"/>
        </w:rPr>
        <w:t>за</w:t>
      </w:r>
      <w:proofErr w:type="spellEnd"/>
      <w:r w:rsidRPr="000C7257">
        <w:rPr>
          <w:rFonts w:ascii="Times New Roman" w:eastAsia="Times New Roman" w:hAnsi="Times New Roman" w:cs="Times New Roman"/>
          <w:color w:val="auto"/>
          <w:sz w:val="24"/>
          <w:szCs w:val="24"/>
          <w:lang w:eastAsia="ru-RU"/>
        </w:rPr>
        <w:t xml:space="preserve"> фактичними цінами продажу.</w:t>
      </w:r>
    </w:p>
    <w:p w:rsidR="00E10AF7" w:rsidRPr="000C7257" w:rsidRDefault="00E10AF7" w:rsidP="00E10AF7">
      <w:pPr>
        <w:spacing w:before="0" w:after="0" w:line="240" w:lineRule="auto"/>
        <w:ind w:left="0" w:right="0" w:hanging="11"/>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3.4. ПОДАТОК НА ПРИБУТОК</w:t>
      </w:r>
    </w:p>
    <w:p w:rsidR="00E10AF7" w:rsidRPr="000C7257" w:rsidRDefault="00E10AF7" w:rsidP="00E10AF7">
      <w:pPr>
        <w:spacing w:before="0" w:after="0" w:line="240" w:lineRule="auto"/>
        <w:ind w:left="0" w:right="0" w:hanging="11"/>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Витрати з податку на прибуток включають поточний податок на прибуток поточного періоду, обрахований з фінансового результату Товариства до оподаткування за ставками, затвердженими  законодавством на звітну дату.</w:t>
      </w:r>
    </w:p>
    <w:p w:rsidR="00E10AF7" w:rsidRPr="00BC0011" w:rsidRDefault="00E10AF7" w:rsidP="00E10AF7">
      <w:pPr>
        <w:spacing w:before="0" w:after="120" w:line="240" w:lineRule="auto"/>
        <w:ind w:left="0" w:right="0" w:firstLine="0"/>
        <w:rPr>
          <w:rFonts w:ascii="Times New Roman" w:eastAsia="Times New Roman" w:hAnsi="Times New Roman" w:cs="Times New Roman"/>
          <w:bCs/>
          <w:iCs/>
          <w:color w:val="000000"/>
          <w:sz w:val="24"/>
          <w:szCs w:val="24"/>
          <w:lang w:eastAsia="ru-RU"/>
        </w:rPr>
      </w:pPr>
      <w:r w:rsidRPr="00BC0011">
        <w:rPr>
          <w:rFonts w:ascii="Times New Roman" w:eastAsia="Times New Roman" w:hAnsi="Times New Roman" w:cs="Times New Roman"/>
          <w:bCs/>
          <w:iCs/>
          <w:color w:val="000000"/>
          <w:sz w:val="24"/>
          <w:szCs w:val="24"/>
          <w:lang w:eastAsia="ru-RU"/>
        </w:rPr>
        <w:t>Товариство не визнає відстрочених податків, користуючись положеннями статті 134 Податкового Кодексу України, що дозволяє платникам податку на прибуток, у яких річний дохід від будь-якої діяльності (за вирахуванням непрямих податків), визначений за правилами бухгалтерського обліку за останній річний звітний (податковий) період не перевищує двадцяти мільйонів гривень, визначати об’єкт оподаткування без коригування фінансового результату до оподаткування на усі різниці (крім від’ємного значення об’єкта оподаткування минулих податкових (звітних) років).</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rPr>
      </w:pPr>
      <w:r w:rsidRPr="000C7257">
        <w:rPr>
          <w:rFonts w:ascii="Times New Roman" w:eastAsia="Times New Roman" w:hAnsi="Times New Roman" w:cs="Times New Roman"/>
          <w:b/>
          <w:bCs/>
          <w:color w:val="000000"/>
          <w:sz w:val="24"/>
          <w:szCs w:val="24"/>
        </w:rPr>
        <w:lastRenderedPageBreak/>
        <w:t>3.5. ДЕБІТОРСЬКА ЗАБОРГОВАНІСТЬ ТА АВАНСИ</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Дебіторська заборгованість з основної діяльності та інша дебіторська заборгованість визнається за справедливою вартістю, а в подальшому – за амортизованою вартістю з використанням методу ефективної ставки відсотка мінус резерв на знецінення.</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Резерв на знецінення дебіторської заборгованості створюється, якщо існує об’єктивне свідчення того, що Товариство не зможе отримати повну суму заборгованості відповідно до первісних або переглянутих умов.</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Величина резерву сумнівних боргів визначається у розмірі абсолютної суми сумнівної заборгованості виходячи з платоспроможності кожного дебітора, отриманого забезпечення та проведення аналізу платежів за товари, роботи, послуги.</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Виключення безнадійної дебіторської заборгованості з активів здійснюється з одночасним зменшенням величини резерву сумнівних боргів, а у разі недостатності суми створеного резерву – з визнанням інших операційних витрат. Сума отриманого відшкодування раніше списаної безнадійної заборгованості включається до складу інших операційних доходів. Поточна дебіторська заборгованість, щодо якої не створювався резерв сумнівних боргів, у разі її визнання безнадійною списується за рахунок інших операційних витрат.</w:t>
      </w: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rPr>
      </w:pPr>
      <w:r w:rsidRPr="000C7257">
        <w:rPr>
          <w:rFonts w:ascii="Times New Roman" w:eastAsia="Times New Roman" w:hAnsi="Times New Roman" w:cs="Times New Roman"/>
          <w:color w:val="000000"/>
          <w:sz w:val="24"/>
          <w:szCs w:val="24"/>
        </w:rPr>
        <w:t>Аванси видані відображаються у звіті про фінансовий стан Товариства окремо від іншої дебіторської заборгованості. Передоплати постачальникам відображаються за їх чистою вартістю реалізації за вирахуванням резерву під сумнівну заборгованість. Прибутки та збитки за такими активами відображаються у складі прибутку або збитку в момент припинення визнання або у випадку знецінення таких  активів, а також шляхом амортизації.</w:t>
      </w: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3.6. ГРОШОВІ КОШТИ ТА ЇХ ЕКВІВАЛЕНТИ</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Грошові кошти та їх еквіваленти включають грошові кошти в касі та кошти на рахунках у банках.</w:t>
      </w: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rPr>
      </w:pPr>
      <w:r w:rsidRPr="000C7257">
        <w:rPr>
          <w:rFonts w:ascii="Times New Roman" w:eastAsia="Times New Roman" w:hAnsi="Times New Roman" w:cs="Times New Roman"/>
          <w:b/>
          <w:bCs/>
          <w:color w:val="000000"/>
          <w:sz w:val="24"/>
          <w:szCs w:val="24"/>
        </w:rPr>
        <w:t>3.7. КРЕДИТОРСЬКА ЗАБОРГОВАНІСТЬ</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rPr>
      </w:pPr>
      <w:r w:rsidRPr="000C7257">
        <w:rPr>
          <w:rFonts w:ascii="Times New Roman" w:eastAsia="Times New Roman" w:hAnsi="Times New Roman" w:cs="Times New Roman"/>
          <w:color w:val="000000"/>
          <w:sz w:val="24"/>
          <w:szCs w:val="24"/>
        </w:rPr>
        <w:t>Заборгованість з основної діяльності нараховується за фактом визнання відповідних активів або понесених витрат. Поточна кредиторська заборгованість обліковується за первісною вартістю, довгострокова – за амортизованою вартістю з використанням методу ефективної ставки відсотка. Аванси отримані відображаються окремо від іншої кредиторської заборгованості.</w:t>
      </w:r>
    </w:p>
    <w:p w:rsidR="00E10AF7" w:rsidRPr="00BC0011" w:rsidRDefault="00E10AF7" w:rsidP="00E10AF7">
      <w:pPr>
        <w:spacing w:before="120"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BC0011">
        <w:rPr>
          <w:rFonts w:ascii="Times New Roman" w:eastAsia="Times New Roman" w:hAnsi="Times New Roman" w:cs="Times New Roman"/>
          <w:b/>
          <w:color w:val="000000"/>
          <w:sz w:val="24"/>
          <w:szCs w:val="24"/>
          <w:lang w:eastAsia="ru-RU"/>
        </w:rPr>
        <w:t>3.8. ВИПЛАТИ ПРАЦІВНИКАМ</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3.8.1. Зобов'язання з пенсійного забезпечення та інших виплат</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Товариство бере участь у державній пенсійній програмі, згідно з якою роботодавець повинен здійснювати внески, розраховані як відсоткова частка від загальної суми заробітної плати. Ці витрати у звіті про сукупні прибутки та збитки відображаються у періоді, в якому нараховується заробітна плата. Додаткове забезпечення майбутніх виплат не створюється.</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3.8.2 Короткострокові виплати працівникам</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Всі винагороди працівникам Товариства враховуються як поточні, відповідно до МСБО 19 "Виплати працівникам". Товариство визнає зобов'язання за винагородами, що належать працівникам у вигляді заробітної плати, відпустки, оплати тимчасової втрати працездатності в тому періоді, коли у працівника виникає право на отримання відповідної виплаті, в сумі винагороди, яку Товариство планує виплатити, без урахування ефекту дисконтування.</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Забезпечення довгострокових виплат працівникам не створюється.</w:t>
      </w:r>
    </w:p>
    <w:p w:rsidR="00E10AF7" w:rsidRPr="000C7257" w:rsidRDefault="00E10AF7" w:rsidP="00E10AF7">
      <w:pPr>
        <w:spacing w:before="0" w:after="120" w:line="240" w:lineRule="auto"/>
        <w:ind w:left="0" w:right="0" w:firstLine="0"/>
        <w:contextualSpacing/>
        <w:rPr>
          <w:rFonts w:ascii="Times New Roman" w:eastAsia="Times New Roman" w:hAnsi="Times New Roman" w:cs="Times New Roman"/>
          <w:b/>
          <w:i/>
          <w:color w:val="000000"/>
          <w:sz w:val="24"/>
          <w:szCs w:val="24"/>
          <w:lang w:eastAsia="ru-RU"/>
        </w:rPr>
      </w:pPr>
      <w:r w:rsidRPr="000C7257">
        <w:rPr>
          <w:rFonts w:ascii="Times New Roman" w:eastAsia="Times New Roman" w:hAnsi="Times New Roman" w:cs="Times New Roman"/>
          <w:color w:val="000000"/>
          <w:sz w:val="24"/>
          <w:szCs w:val="24"/>
          <w:lang w:eastAsia="ru-RU"/>
        </w:rPr>
        <w:t>3.8.3. Забезпечення майбутніх виплат</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Товариство визнає в якості забезпечення – забезпечення витрат на оплату відпусток, яке формується щомісяця виходячи з </w:t>
      </w:r>
      <w:r w:rsidRPr="000C7257">
        <w:rPr>
          <w:rFonts w:ascii="Times New Roman" w:eastAsia="Times New Roman" w:hAnsi="Times New Roman" w:cs="Times New Roman"/>
          <w:color w:val="auto"/>
          <w:sz w:val="24"/>
          <w:szCs w:val="24"/>
          <w:lang w:eastAsia="ru-RU"/>
        </w:rPr>
        <w:t xml:space="preserve">планових витрат на оплату </w:t>
      </w:r>
      <w:proofErr w:type="spellStart"/>
      <w:r w:rsidRPr="000C7257">
        <w:rPr>
          <w:rFonts w:ascii="Times New Roman" w:eastAsia="Times New Roman" w:hAnsi="Times New Roman" w:cs="Times New Roman"/>
          <w:color w:val="auto"/>
          <w:sz w:val="24"/>
          <w:szCs w:val="24"/>
          <w:lang w:eastAsia="ru-RU"/>
        </w:rPr>
        <w:t>відпусток.</w:t>
      </w:r>
      <w:r w:rsidRPr="000C7257">
        <w:rPr>
          <w:rFonts w:ascii="Times New Roman" w:eastAsia="Times New Roman" w:hAnsi="Times New Roman" w:cs="Times New Roman"/>
          <w:color w:val="000000"/>
          <w:sz w:val="24"/>
          <w:szCs w:val="24"/>
          <w:lang w:eastAsia="ru-RU"/>
        </w:rPr>
        <w:t>На</w:t>
      </w:r>
      <w:proofErr w:type="spellEnd"/>
      <w:r w:rsidRPr="000C7257">
        <w:rPr>
          <w:rFonts w:ascii="Times New Roman" w:eastAsia="Times New Roman" w:hAnsi="Times New Roman" w:cs="Times New Roman"/>
          <w:color w:val="000000"/>
          <w:sz w:val="24"/>
          <w:szCs w:val="24"/>
          <w:lang w:eastAsia="ru-RU"/>
        </w:rPr>
        <w:t xml:space="preserve"> дату фінансової звітності раніше визнане зобов’язання корегується на підставі інвентаризації невикористаних відпусток. Суми створених забезпечень визнаються витратами.</w:t>
      </w:r>
      <w:r w:rsidRPr="000C7257">
        <w:rPr>
          <w:rFonts w:ascii="Times New Roman" w:eastAsia="Times New Roman" w:hAnsi="Times New Roman" w:cs="Times New Roman"/>
          <w:color w:val="000000"/>
          <w:sz w:val="24"/>
          <w:szCs w:val="24"/>
          <w:lang w:eastAsia="ru-RU"/>
        </w:rPr>
        <w:cr/>
      </w:r>
    </w:p>
    <w:p w:rsidR="00E10AF7" w:rsidRPr="000C7257" w:rsidRDefault="00E10AF7" w:rsidP="00E10AF7">
      <w:pPr>
        <w:spacing w:before="0" w:after="120" w:line="240" w:lineRule="auto"/>
        <w:ind w:left="0" w:right="0" w:firstLine="0"/>
        <w:jc w:val="center"/>
        <w:rPr>
          <w:rFonts w:ascii="Times New Roman" w:eastAsia="Times New Roman" w:hAnsi="Times New Roman" w:cs="Times New Roman"/>
          <w:b/>
          <w:i/>
          <w:iCs/>
          <w:color w:val="000000"/>
          <w:sz w:val="24"/>
          <w:szCs w:val="24"/>
          <w:shd w:val="clear" w:color="auto" w:fill="FFFFFF"/>
          <w:lang w:eastAsia="ru-RU"/>
        </w:rPr>
      </w:pPr>
      <w:r w:rsidRPr="000C7257">
        <w:rPr>
          <w:rFonts w:ascii="Times New Roman" w:eastAsia="Times New Roman" w:hAnsi="Times New Roman" w:cs="Times New Roman"/>
          <w:b/>
          <w:iCs/>
          <w:color w:val="000000"/>
          <w:sz w:val="24"/>
          <w:szCs w:val="24"/>
          <w:shd w:val="clear" w:color="auto" w:fill="FFFFFF"/>
          <w:lang w:eastAsia="ru-RU"/>
        </w:rPr>
        <w:lastRenderedPageBreak/>
        <w:t>4. КЛЮЧОВІ БУХГАЛТЕРСЬКІ ОЦІНКИ І ПРОФЕСІЙНІ СУДЖЕННЯ В ЗАСТОСУВАННІ ОБЛІКОВОЇ ПОЛІТИКИ</w:t>
      </w:r>
    </w:p>
    <w:p w:rsidR="00E10AF7" w:rsidRPr="000C7257" w:rsidRDefault="00E10AF7" w:rsidP="00E10AF7">
      <w:pPr>
        <w:widowControl w:val="0"/>
        <w:shd w:val="clear" w:color="auto" w:fill="FFFFFF"/>
        <w:spacing w:before="0" w:after="0" w:line="240" w:lineRule="auto"/>
        <w:ind w:left="0" w:right="23"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При підготовці фінансової звітності Товариство робить оцінки та припущення, засновані на минулому досвіді керівництва та інших факторах, у тому числі на очікуваннях щодо майбутніх подій, які вважаються обґрунтованими в сформованих обставинах, які мають вплив на визначення суми активів та зобов'язань, визначення доходів та витрат звітного періоду, розкриття умовних активів та зобов'язань на дату підготовки фінансової звітності, ґрунтуючись на МСФЗ, МСБО та тлумаченнях, розроблених Комітетом з тлумачень міжнародної фінансової звітності. Фактичні результати можуть відрізнятися від таких оцінок. Зміни в оцінках відображаються у поточному періоді, якщо зміна впливає лише на цей період, або у поточному та майбутніх періодах, якщо їх зміна впливає на поточний та на майбутні періоди.</w:t>
      </w:r>
    </w:p>
    <w:p w:rsidR="00E10AF7" w:rsidRPr="000C7257" w:rsidRDefault="00E10AF7" w:rsidP="00E10AF7">
      <w:pPr>
        <w:widowControl w:val="0"/>
        <w:shd w:val="clear" w:color="auto" w:fill="FFFFFF"/>
        <w:spacing w:before="0" w:after="0" w:line="240" w:lineRule="auto"/>
        <w:ind w:left="0" w:right="2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Найбільш суттєвими ділянками, що вимагають оцінок та припущень керівництва, є:</w:t>
      </w:r>
    </w:p>
    <w:p w:rsidR="00E10AF7" w:rsidRPr="000C7257" w:rsidRDefault="00E10AF7" w:rsidP="00E10AF7">
      <w:pPr>
        <w:widowControl w:val="0"/>
        <w:numPr>
          <w:ilvl w:val="0"/>
          <w:numId w:val="1"/>
        </w:numPr>
        <w:shd w:val="clear" w:color="auto" w:fill="FFFFFF"/>
        <w:spacing w:before="0" w:after="0" w:line="240" w:lineRule="auto"/>
        <w:ind w:right="20"/>
        <w:jc w:val="left"/>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Термін корисного використання основних засобів та нематеріальних активів;</w:t>
      </w:r>
    </w:p>
    <w:p w:rsidR="00E10AF7" w:rsidRPr="000C7257" w:rsidRDefault="00E10AF7" w:rsidP="00E10AF7">
      <w:pPr>
        <w:widowControl w:val="0"/>
        <w:numPr>
          <w:ilvl w:val="0"/>
          <w:numId w:val="1"/>
        </w:numPr>
        <w:shd w:val="clear" w:color="auto" w:fill="FFFFFF"/>
        <w:spacing w:before="0" w:after="0" w:line="240" w:lineRule="auto"/>
        <w:ind w:right="20"/>
        <w:jc w:val="left"/>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Ступінь повернення дебіторської заборгованості та резерв сумнівних боргів;</w:t>
      </w:r>
    </w:p>
    <w:p w:rsidR="00E10AF7" w:rsidRPr="000C7257" w:rsidRDefault="00E10AF7" w:rsidP="00E10AF7">
      <w:pPr>
        <w:widowControl w:val="0"/>
        <w:numPr>
          <w:ilvl w:val="0"/>
          <w:numId w:val="1"/>
        </w:numPr>
        <w:shd w:val="clear" w:color="auto" w:fill="FFFFFF"/>
        <w:spacing w:before="0" w:after="0" w:line="240" w:lineRule="auto"/>
        <w:ind w:right="20"/>
        <w:jc w:val="left"/>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Оцінка чистої вартості реалізації запасів.</w:t>
      </w:r>
    </w:p>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4.1. Судження щодо терміну корисного використання основних засобів та нематеріальних активів</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Оцінка термінів корисного використання основних засобів та нематеріальних активів переглядається на кожну звітну дату. Протягом звітного періоду не було змін в очікуваних термінах корисного використання та, відповідно, у сумах амортизаційних відрахувань основних засобів та нематеріальних активів. Товариство переглянуло строки корисного використання  основних засобів та нематеріальних активів на кінець звітного року та  не  очікує відхилення від попередніх оцінок</w:t>
      </w:r>
    </w:p>
    <w:p w:rsidR="00E10AF7" w:rsidRPr="000C7257" w:rsidRDefault="00E10AF7" w:rsidP="00E10AF7">
      <w:pPr>
        <w:spacing w:before="0" w:after="0" w:line="240" w:lineRule="auto"/>
        <w:ind w:left="0" w:right="0" w:firstLine="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color w:val="000000"/>
          <w:sz w:val="24"/>
          <w:szCs w:val="24"/>
          <w:lang w:eastAsia="ru-RU"/>
        </w:rPr>
        <w:t>4.2. Судження про ступінь повернення дебіторської заборгованості та резерв сумнівних боргів</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FF0000"/>
          <w:sz w:val="24"/>
          <w:szCs w:val="24"/>
          <w:lang w:eastAsia="ru-RU"/>
        </w:rPr>
      </w:pPr>
      <w:r w:rsidRPr="000C7257">
        <w:rPr>
          <w:rFonts w:ascii="Times New Roman" w:eastAsia="Times New Roman" w:hAnsi="Times New Roman" w:cs="Times New Roman"/>
          <w:color w:val="000000"/>
          <w:sz w:val="24"/>
          <w:szCs w:val="24"/>
          <w:lang w:eastAsia="ru-RU"/>
        </w:rPr>
        <w:t>Товариство здійснює оцінку ступеня повернення дебіторської заборгованості з фінансових операцій та нарахування резерву сумнівних боргів з метою покриття потенційних збитків у випадках неспроможності дебітора здійснювати необхідні платежі та недостатності отриманого забезпечення (застави). При оцінці достатності резерву сумнівних боргів Товариство враховує поточні загальноекономічні умови, платоспроможність дебітора, зміни умов здійснення платежів та коливання цін на дорогоцінні метали в брухті. Створення та коригування суми резерву сумнівних боргів здійснюється у випадку недостатності суми отриманої застави в поточних цінах для покриття заборгованості з основної суми боргу та нарахованих відсотків. Керівництво Товариства вважає, що дебіторська заборгованість з основної діяльності та інші активи буде відшкодовано у найближчому майбутньому.</w:t>
      </w:r>
    </w:p>
    <w:p w:rsidR="00E10AF7" w:rsidRPr="000C7257" w:rsidRDefault="00E10AF7" w:rsidP="00E10AF7">
      <w:pPr>
        <w:widowControl w:val="0"/>
        <w:shd w:val="clear" w:color="auto" w:fill="FFFFFF"/>
        <w:spacing w:before="0" w:after="0" w:line="240" w:lineRule="auto"/>
        <w:ind w:left="0" w:right="2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4.3. Судження щодо оцінки чистої вартості реалізації запасів</w:t>
      </w:r>
    </w:p>
    <w:p w:rsidR="00E10AF7" w:rsidRPr="000C7257" w:rsidRDefault="00E10AF7" w:rsidP="00E10AF7">
      <w:pPr>
        <w:autoSpaceDE w:val="0"/>
        <w:autoSpaceDN w:val="0"/>
        <w:adjustRightInd w:val="0"/>
        <w:spacing w:before="0" w:after="120" w:line="240" w:lineRule="auto"/>
        <w:ind w:left="0" w:right="0" w:firstLine="0"/>
        <w:rPr>
          <w:rFonts w:ascii="Times New Roman" w:eastAsia="Times New Roman" w:hAnsi="Times New Roman" w:cs="Times New Roman"/>
          <w:color w:val="000000"/>
          <w:sz w:val="24"/>
          <w:szCs w:val="24"/>
          <w:shd w:val="clear" w:color="auto" w:fill="FFFFFF"/>
          <w:lang w:eastAsia="ru-RU"/>
        </w:rPr>
      </w:pPr>
      <w:r w:rsidRPr="000C7257">
        <w:rPr>
          <w:rFonts w:ascii="Times New Roman" w:eastAsia="Times New Roman" w:hAnsi="Times New Roman" w:cs="Times New Roman"/>
          <w:color w:val="000000"/>
          <w:sz w:val="24"/>
          <w:szCs w:val="24"/>
          <w:shd w:val="clear" w:color="auto" w:fill="FFFFFF"/>
          <w:lang w:eastAsia="ru-RU"/>
        </w:rPr>
        <w:t>Попередні оцінки чистої вартості реалізації заставного майна у вигляді виробів із дорогоцінних металів базуються на наявній інформації про закупівельні ціни Національного банку України на дорогоцінні метали в брухті. Проте фактична ціна реалізації таких запасів може значно відрізнятися від попередньої оцінки внаслідок коливання закупівельних цін та фактичної оцінки Держскарбницею кількості та проби дорогоцінних металів у виробах. У кожному наступному періоді проводиться нова оцінка чистої вартості реалізації та її порівняння із собівартістю запасів. </w:t>
      </w: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p>
    <w:p w:rsidR="00E10AF7" w:rsidRPr="000C7257" w:rsidRDefault="00E10AF7" w:rsidP="00E10AF7">
      <w:pPr>
        <w:spacing w:before="0" w:after="0" w:line="240" w:lineRule="auto"/>
        <w:ind w:left="0" w:right="0" w:firstLine="0"/>
        <w:jc w:val="center"/>
        <w:rPr>
          <w:rFonts w:ascii="Times New Roman" w:eastAsia="Times New Roman" w:hAnsi="Times New Roman" w:cs="Times New Roman"/>
          <w:b/>
          <w:bCs/>
          <w:color w:val="000000"/>
          <w:sz w:val="24"/>
          <w:szCs w:val="24"/>
        </w:rPr>
      </w:pPr>
      <w:r w:rsidRPr="000C7257">
        <w:rPr>
          <w:rFonts w:ascii="Times New Roman" w:eastAsia="Times New Roman" w:hAnsi="Times New Roman" w:cs="Times New Roman"/>
          <w:b/>
          <w:bCs/>
          <w:color w:val="000000"/>
          <w:sz w:val="24"/>
          <w:szCs w:val="24"/>
        </w:rPr>
        <w:lastRenderedPageBreak/>
        <w:t>5. ПОЯСНЕННЯ ДО ФІНАНСОВОЇ ЗВІТНОСТІ</w:t>
      </w:r>
    </w:p>
    <w:p w:rsidR="00E10AF7" w:rsidRPr="000C7257" w:rsidRDefault="00E10AF7" w:rsidP="00E10AF7">
      <w:pPr>
        <w:spacing w:before="0"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5.1. БАЛАНС (ЗВІТ ПРО ФІНАНСОВИЙ СТАН)</w:t>
      </w:r>
    </w:p>
    <w:p w:rsidR="00E10AF7" w:rsidRPr="000C7257" w:rsidRDefault="00E10AF7" w:rsidP="00E10AF7">
      <w:pPr>
        <w:spacing w:before="0" w:after="12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5.1.1. Основні засоби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7"/>
        <w:gridCol w:w="1322"/>
        <w:gridCol w:w="804"/>
        <w:gridCol w:w="919"/>
        <w:gridCol w:w="1322"/>
        <w:gridCol w:w="670"/>
        <w:gridCol w:w="985"/>
        <w:gridCol w:w="1322"/>
        <w:gridCol w:w="756"/>
      </w:tblGrid>
      <w:tr w:rsidR="00E10AF7" w:rsidRPr="000C7257" w:rsidTr="00B465E6">
        <w:tc>
          <w:tcPr>
            <w:tcW w:w="2057" w:type="dxa"/>
            <w:vMerge w:val="restart"/>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p>
        </w:tc>
        <w:tc>
          <w:tcPr>
            <w:tcW w:w="2126" w:type="dxa"/>
            <w:gridSpan w:val="2"/>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На 01.01.2017</w:t>
            </w:r>
          </w:p>
        </w:tc>
        <w:tc>
          <w:tcPr>
            <w:tcW w:w="919" w:type="dxa"/>
            <w:vMerge w:val="restart"/>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Надходження</w:t>
            </w:r>
          </w:p>
        </w:tc>
        <w:tc>
          <w:tcPr>
            <w:tcW w:w="1992" w:type="dxa"/>
            <w:gridSpan w:val="2"/>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Вибуття</w:t>
            </w:r>
          </w:p>
        </w:tc>
        <w:tc>
          <w:tcPr>
            <w:tcW w:w="985" w:type="dxa"/>
            <w:vMerge w:val="restart"/>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Амортизація та знос</w:t>
            </w:r>
          </w:p>
        </w:tc>
        <w:tc>
          <w:tcPr>
            <w:tcW w:w="2078" w:type="dxa"/>
            <w:gridSpan w:val="2"/>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На 31.12.2017</w:t>
            </w:r>
          </w:p>
        </w:tc>
      </w:tr>
      <w:tr w:rsidR="00E10AF7" w:rsidRPr="000C7257" w:rsidTr="00B465E6">
        <w:tc>
          <w:tcPr>
            <w:tcW w:w="2057" w:type="dxa"/>
            <w:vMerge/>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Первісна (переоцінена вартість)</w:t>
            </w:r>
          </w:p>
        </w:tc>
        <w:tc>
          <w:tcPr>
            <w:tcW w:w="804"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знос</w:t>
            </w:r>
          </w:p>
        </w:tc>
        <w:tc>
          <w:tcPr>
            <w:tcW w:w="919" w:type="dxa"/>
            <w:vMerge/>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Первісна вартість</w:t>
            </w:r>
          </w:p>
        </w:tc>
        <w:tc>
          <w:tcPr>
            <w:tcW w:w="670"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знос</w:t>
            </w:r>
          </w:p>
        </w:tc>
        <w:tc>
          <w:tcPr>
            <w:tcW w:w="985" w:type="dxa"/>
            <w:vMerge/>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Первісна (переоцінена вартість)</w:t>
            </w:r>
          </w:p>
        </w:tc>
        <w:tc>
          <w:tcPr>
            <w:tcW w:w="75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знос</w:t>
            </w:r>
          </w:p>
        </w:tc>
      </w:tr>
      <w:tr w:rsidR="00E10AF7" w:rsidRPr="000C7257" w:rsidTr="00B465E6">
        <w:tc>
          <w:tcPr>
            <w:tcW w:w="2057"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Машини та обладнання</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129</w:t>
            </w:r>
          </w:p>
        </w:tc>
        <w:tc>
          <w:tcPr>
            <w:tcW w:w="804"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34</w:t>
            </w:r>
          </w:p>
        </w:tc>
        <w:tc>
          <w:tcPr>
            <w:tcW w:w="91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51</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670"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985"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26</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180</w:t>
            </w:r>
          </w:p>
        </w:tc>
        <w:tc>
          <w:tcPr>
            <w:tcW w:w="75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60</w:t>
            </w:r>
          </w:p>
        </w:tc>
      </w:tr>
      <w:tr w:rsidR="00E10AF7" w:rsidRPr="000C7257" w:rsidTr="00B465E6">
        <w:tc>
          <w:tcPr>
            <w:tcW w:w="2057"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Інструменти, прилади та інвентар</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152</w:t>
            </w:r>
          </w:p>
        </w:tc>
        <w:tc>
          <w:tcPr>
            <w:tcW w:w="804"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54</w:t>
            </w:r>
          </w:p>
        </w:tc>
        <w:tc>
          <w:tcPr>
            <w:tcW w:w="91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670"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985"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37</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152</w:t>
            </w:r>
          </w:p>
        </w:tc>
        <w:tc>
          <w:tcPr>
            <w:tcW w:w="75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91</w:t>
            </w:r>
          </w:p>
        </w:tc>
      </w:tr>
      <w:tr w:rsidR="00E10AF7" w:rsidRPr="000C7257" w:rsidTr="00B465E6">
        <w:tc>
          <w:tcPr>
            <w:tcW w:w="2057"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Малоцінні необоротні матеріальні активи</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w:t>
            </w:r>
          </w:p>
        </w:tc>
        <w:tc>
          <w:tcPr>
            <w:tcW w:w="804"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w:t>
            </w:r>
          </w:p>
        </w:tc>
        <w:tc>
          <w:tcPr>
            <w:tcW w:w="91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670"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985"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val="ru-RU" w:eastAsia="ru-RU"/>
              </w:rPr>
            </w:pP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w:t>
            </w:r>
          </w:p>
        </w:tc>
        <w:tc>
          <w:tcPr>
            <w:tcW w:w="75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w:t>
            </w:r>
          </w:p>
        </w:tc>
      </w:tr>
      <w:tr w:rsidR="00E10AF7" w:rsidRPr="000C7257" w:rsidTr="00B465E6">
        <w:tc>
          <w:tcPr>
            <w:tcW w:w="2057" w:type="dxa"/>
          </w:tcPr>
          <w:p w:rsidR="00E10AF7" w:rsidRPr="000C7257" w:rsidRDefault="00E10AF7" w:rsidP="00B465E6">
            <w:pPr>
              <w:spacing w:before="0" w:after="0" w:line="240" w:lineRule="auto"/>
              <w:ind w:left="0" w:right="0" w:firstLine="0"/>
              <w:jc w:val="righ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Разом</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284</w:t>
            </w:r>
          </w:p>
        </w:tc>
        <w:tc>
          <w:tcPr>
            <w:tcW w:w="804"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91</w:t>
            </w:r>
          </w:p>
        </w:tc>
        <w:tc>
          <w:tcPr>
            <w:tcW w:w="91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51</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670"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985"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63</w:t>
            </w:r>
          </w:p>
        </w:tc>
        <w:tc>
          <w:tcPr>
            <w:tcW w:w="1322"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335</w:t>
            </w:r>
          </w:p>
        </w:tc>
        <w:tc>
          <w:tcPr>
            <w:tcW w:w="75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154</w:t>
            </w:r>
          </w:p>
        </w:tc>
      </w:tr>
    </w:tbl>
    <w:p w:rsidR="00E10AF7" w:rsidRPr="000C7257" w:rsidRDefault="00E10AF7" w:rsidP="00E10AF7">
      <w:pPr>
        <w:spacing w:before="12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Переоцінка основних засобів протягом звітного періоду не відбувалась; зменшення корисності та відновлення корисності не визнавалося; інших змін первісної вартості та суми зносу основних засобів у звітному періоді не було; основних засобів, щодо яких могли б існувати передбачені чинним законодавством обмеження володіння, користування та розпорядження немає; переданих у заставу основних засобів немає; угоди про придбання в майбутньому основних засобів не укладалась; основних засобів, що тимчасово не використовуються (консервація, реконструкція, тощо) немає;  вартість повністю амортизованих основних засобів,  що будуть  використовуватися в 2018 році складає 21 тис. </w:t>
      </w:r>
      <w:proofErr w:type="spellStart"/>
      <w:r w:rsidRPr="000C7257">
        <w:rPr>
          <w:rFonts w:ascii="Times New Roman" w:eastAsia="Times New Roman" w:hAnsi="Times New Roman" w:cs="Times New Roman"/>
          <w:color w:val="000000"/>
          <w:sz w:val="24"/>
          <w:szCs w:val="24"/>
          <w:lang w:eastAsia="ru-RU"/>
        </w:rPr>
        <w:t>грн</w:t>
      </w:r>
      <w:proofErr w:type="spellEnd"/>
      <w:r w:rsidRPr="000C7257">
        <w:rPr>
          <w:rFonts w:ascii="Times New Roman" w:eastAsia="Times New Roman" w:hAnsi="Times New Roman" w:cs="Times New Roman"/>
          <w:color w:val="000000"/>
          <w:sz w:val="24"/>
          <w:szCs w:val="24"/>
          <w:lang w:eastAsia="ru-RU"/>
        </w:rPr>
        <w:t>; вилучення основних  засобів для продажу в звітному періоді не здійснювалось; основних засобів, отриманих за рахунок цільового використання впродовж звітного періоду не було; зміни розміру додаткового капіталу в результаті переоцінки основних засобів та обмеження щодо його розподілу між власниками (учасниками) впродовж звітного періоду не було.</w:t>
      </w:r>
    </w:p>
    <w:p w:rsidR="00E10AF7" w:rsidRPr="000C7257" w:rsidRDefault="00E10AF7" w:rsidP="00E10AF7">
      <w:pPr>
        <w:spacing w:before="0" w:after="0" w:line="240" w:lineRule="auto"/>
        <w:ind w:left="0" w:right="0" w:firstLine="0"/>
        <w:rPr>
          <w:rFonts w:ascii="Times New Roman" w:eastAsia="Times New Roman" w:hAnsi="Times New Roman" w:cs="Times New Roman"/>
          <w:b/>
          <w:bCs/>
          <w:i/>
          <w:iCs/>
          <w:color w:val="FF0000"/>
          <w:sz w:val="24"/>
          <w:szCs w:val="24"/>
          <w:lang w:eastAsia="ru-RU"/>
        </w:rPr>
      </w:pPr>
    </w:p>
    <w:p w:rsidR="00E10AF7" w:rsidRPr="000C7257" w:rsidRDefault="00E10AF7" w:rsidP="00E10AF7">
      <w:pPr>
        <w:spacing w:before="0" w:after="0" w:line="240" w:lineRule="auto"/>
        <w:ind w:left="0" w:right="0" w:firstLine="0"/>
        <w:outlineLvl w:val="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b/>
          <w:bCs/>
          <w:i/>
          <w:iCs/>
          <w:color w:val="auto"/>
          <w:sz w:val="24"/>
          <w:szCs w:val="24"/>
          <w:lang w:eastAsia="ru-RU"/>
        </w:rPr>
        <w:t>5.1.2. Запаси</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Запаси оцінені за собівартістю. Собівартість товарів визначено у сумі неповерненого кредиту та нарахованих відсотків на дату звернення стягнення на об’єкт застави. На дату фінансової звітності залишків запасів немає</w:t>
      </w:r>
    </w:p>
    <w:tbl>
      <w:tblPr>
        <w:tblW w:w="9781" w:type="dxa"/>
        <w:tblInd w:w="108" w:type="dxa"/>
        <w:tblLook w:val="0000"/>
      </w:tblPr>
      <w:tblGrid>
        <w:gridCol w:w="6663"/>
        <w:gridCol w:w="1559"/>
        <w:gridCol w:w="1559"/>
      </w:tblGrid>
      <w:tr w:rsidR="00E10AF7" w:rsidRPr="000C7257" w:rsidTr="00B465E6">
        <w:trPr>
          <w:trHeight w:val="385"/>
        </w:trPr>
        <w:tc>
          <w:tcPr>
            <w:tcW w:w="6663" w:type="dxa"/>
            <w:tcBorders>
              <w:top w:val="single" w:sz="4" w:space="0" w:color="auto"/>
              <w:left w:val="single" w:sz="4" w:space="0" w:color="auto"/>
              <w:bottom w:val="single" w:sz="4" w:space="0" w:color="auto"/>
              <w:right w:val="single" w:sz="4" w:space="0" w:color="auto"/>
            </w:tcBorders>
            <w:vAlign w:val="center"/>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FF0000"/>
                <w:sz w:val="20"/>
                <w:szCs w:val="20"/>
                <w:lang w:eastAsia="ru-RU"/>
              </w:rPr>
            </w:pPr>
            <w:r w:rsidRPr="000C7257">
              <w:rPr>
                <w:rFonts w:ascii="Times New Roman" w:eastAsia="Times New Roman" w:hAnsi="Times New Roman" w:cs="Times New Roman"/>
                <w:color w:val="FF0000"/>
                <w:sz w:val="20"/>
                <w:szCs w:val="20"/>
                <w:lang w:eastAsia="ru-RU"/>
              </w:rPr>
              <w:t> </w:t>
            </w:r>
          </w:p>
        </w:tc>
        <w:tc>
          <w:tcPr>
            <w:tcW w:w="1559" w:type="dxa"/>
            <w:tcBorders>
              <w:top w:val="single" w:sz="4" w:space="0" w:color="auto"/>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01.01.2017</w:t>
            </w:r>
          </w:p>
        </w:tc>
        <w:tc>
          <w:tcPr>
            <w:tcW w:w="1559" w:type="dxa"/>
            <w:tcBorders>
              <w:top w:val="single" w:sz="4" w:space="0" w:color="auto"/>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31.12.2017</w:t>
            </w:r>
          </w:p>
        </w:tc>
      </w:tr>
      <w:tr w:rsidR="00E10AF7" w:rsidRPr="000C7257" w:rsidTr="00B465E6">
        <w:trPr>
          <w:trHeight w:val="292"/>
        </w:trPr>
        <w:tc>
          <w:tcPr>
            <w:tcW w:w="6663" w:type="dxa"/>
            <w:tcBorders>
              <w:top w:val="nil"/>
              <w:left w:val="single" w:sz="4" w:space="0" w:color="auto"/>
              <w:bottom w:val="single" w:sz="4" w:space="0" w:color="auto"/>
              <w:right w:val="single" w:sz="4" w:space="0" w:color="auto"/>
            </w:tcBorders>
            <w:vAlign w:val="bottom"/>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Малоцінні та швидкозношувані предмети</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r>
      <w:tr w:rsidR="00E10AF7" w:rsidRPr="000C7257" w:rsidTr="00B465E6">
        <w:trPr>
          <w:trHeight w:val="375"/>
        </w:trPr>
        <w:tc>
          <w:tcPr>
            <w:tcW w:w="6663" w:type="dxa"/>
            <w:tcBorders>
              <w:top w:val="nil"/>
              <w:left w:val="single" w:sz="4" w:space="0" w:color="auto"/>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Товари на складі (заставне майно, право власності на яке перейшло до Товариства)</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118</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r>
      <w:tr w:rsidR="00E10AF7" w:rsidRPr="000C7257" w:rsidTr="00B465E6">
        <w:trPr>
          <w:trHeight w:val="315"/>
        </w:trPr>
        <w:tc>
          <w:tcPr>
            <w:tcW w:w="6663" w:type="dxa"/>
            <w:tcBorders>
              <w:top w:val="nil"/>
              <w:left w:val="single" w:sz="4" w:space="0" w:color="auto"/>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Всього:</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118</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w:t>
            </w:r>
          </w:p>
        </w:tc>
      </w:tr>
    </w:tbl>
    <w:p w:rsidR="00E10AF7" w:rsidRPr="000C7257" w:rsidRDefault="00E10AF7" w:rsidP="00E10AF7">
      <w:pPr>
        <w:spacing w:before="120" w:after="0" w:line="240" w:lineRule="auto"/>
        <w:ind w:left="0" w:right="0" w:firstLine="0"/>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5.1.3</w:t>
      </w:r>
      <w:r w:rsidRPr="000C7257">
        <w:rPr>
          <w:rFonts w:ascii="Times New Roman" w:eastAsia="Times New Roman" w:hAnsi="Times New Roman" w:cs="Times New Roman"/>
          <w:b/>
          <w:bCs/>
          <w:color w:val="000000"/>
          <w:sz w:val="24"/>
          <w:szCs w:val="24"/>
          <w:lang w:eastAsia="ru-RU"/>
        </w:rPr>
        <w:t xml:space="preserve">. </w:t>
      </w:r>
      <w:r w:rsidRPr="000C7257">
        <w:rPr>
          <w:rFonts w:ascii="Times New Roman" w:eastAsia="Times New Roman" w:hAnsi="Times New Roman" w:cs="Times New Roman"/>
          <w:b/>
          <w:bCs/>
          <w:i/>
          <w:iCs/>
          <w:color w:val="000000"/>
          <w:sz w:val="24"/>
          <w:szCs w:val="24"/>
          <w:lang w:eastAsia="ru-RU"/>
        </w:rPr>
        <w:t>Дебіторська заборгованість</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Станом на звітну дату дебіторська заборгованість складається з наступних сум: </w:t>
      </w:r>
    </w:p>
    <w:tbl>
      <w:tblPr>
        <w:tblW w:w="9781" w:type="dxa"/>
        <w:tblInd w:w="108" w:type="dxa"/>
        <w:tblLayout w:type="fixed"/>
        <w:tblLook w:val="0000"/>
      </w:tblPr>
      <w:tblGrid>
        <w:gridCol w:w="6663"/>
        <w:gridCol w:w="1559"/>
        <w:gridCol w:w="1559"/>
      </w:tblGrid>
      <w:tr w:rsidR="00E10AF7" w:rsidRPr="000C7257" w:rsidTr="00B465E6">
        <w:trPr>
          <w:trHeight w:val="385"/>
        </w:trPr>
        <w:tc>
          <w:tcPr>
            <w:tcW w:w="6663" w:type="dxa"/>
            <w:tcBorders>
              <w:top w:val="single" w:sz="4" w:space="0" w:color="auto"/>
              <w:left w:val="single" w:sz="4" w:space="0" w:color="auto"/>
              <w:bottom w:val="single" w:sz="4" w:space="0" w:color="auto"/>
              <w:right w:val="single" w:sz="4" w:space="0" w:color="auto"/>
            </w:tcBorders>
            <w:vAlign w:val="center"/>
          </w:tcPr>
          <w:p w:rsidR="00E10AF7" w:rsidRPr="000C7257" w:rsidRDefault="00E10AF7" w:rsidP="00B465E6">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w:t>
            </w:r>
          </w:p>
        </w:tc>
        <w:tc>
          <w:tcPr>
            <w:tcW w:w="1559" w:type="dxa"/>
            <w:tcBorders>
              <w:top w:val="single" w:sz="4" w:space="0" w:color="auto"/>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108"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01.01.2017</w:t>
            </w:r>
          </w:p>
        </w:tc>
        <w:tc>
          <w:tcPr>
            <w:tcW w:w="1559" w:type="dxa"/>
            <w:tcBorders>
              <w:top w:val="single" w:sz="4" w:space="0" w:color="auto"/>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0" w:right="-108"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31.12.2017</w:t>
            </w:r>
          </w:p>
        </w:tc>
      </w:tr>
      <w:tr w:rsidR="00E10AF7" w:rsidRPr="000C7257" w:rsidTr="00B465E6">
        <w:trPr>
          <w:trHeight w:val="261"/>
        </w:trPr>
        <w:tc>
          <w:tcPr>
            <w:tcW w:w="6663" w:type="dxa"/>
            <w:tcBorders>
              <w:top w:val="nil"/>
              <w:left w:val="single" w:sz="4" w:space="0" w:color="auto"/>
              <w:bottom w:val="single" w:sz="4" w:space="0" w:color="auto"/>
              <w:right w:val="single" w:sz="4" w:space="0" w:color="auto"/>
            </w:tcBorders>
            <w:vAlign w:val="bottom"/>
          </w:tcPr>
          <w:p w:rsidR="00E10AF7" w:rsidRPr="000C7257" w:rsidRDefault="00E10AF7" w:rsidP="00B465E6">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Дебіторська заборгованість за товари, роботи, послуги</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14</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8</w:t>
            </w:r>
          </w:p>
        </w:tc>
      </w:tr>
      <w:tr w:rsidR="00E10AF7" w:rsidRPr="000C7257" w:rsidTr="00B465E6">
        <w:trPr>
          <w:trHeight w:val="330"/>
        </w:trPr>
        <w:tc>
          <w:tcPr>
            <w:tcW w:w="6663" w:type="dxa"/>
            <w:tcBorders>
              <w:top w:val="nil"/>
              <w:left w:val="single" w:sz="4" w:space="0" w:color="auto"/>
              <w:bottom w:val="single" w:sz="4" w:space="0" w:color="auto"/>
              <w:right w:val="single" w:sz="4" w:space="0" w:color="auto"/>
            </w:tcBorders>
            <w:vAlign w:val="bottom"/>
          </w:tcPr>
          <w:p w:rsidR="00E10AF7" w:rsidRPr="000C7257" w:rsidRDefault="00E10AF7" w:rsidP="00B465E6">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Дебіторська заборгованість з нарахованих доходів (відсотки по кредитам)</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29</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45</w:t>
            </w:r>
          </w:p>
        </w:tc>
      </w:tr>
      <w:tr w:rsidR="00E10AF7" w:rsidRPr="000C7257" w:rsidTr="00B465E6">
        <w:trPr>
          <w:trHeight w:val="375"/>
        </w:trPr>
        <w:tc>
          <w:tcPr>
            <w:tcW w:w="6663" w:type="dxa"/>
            <w:tcBorders>
              <w:top w:val="nil"/>
              <w:left w:val="single" w:sz="4" w:space="0" w:color="auto"/>
              <w:bottom w:val="single" w:sz="4" w:space="0" w:color="auto"/>
              <w:right w:val="single" w:sz="4" w:space="0" w:color="auto"/>
            </w:tcBorders>
            <w:noWrap/>
            <w:vAlign w:val="bottom"/>
          </w:tcPr>
          <w:p w:rsidR="00E10AF7" w:rsidRPr="000C7257" w:rsidRDefault="00E10AF7" w:rsidP="00B465E6">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Інша поточна дебіторська заборгованість (дебіторська заборгованість за виданими кредитами)</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502</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881</w:t>
            </w:r>
          </w:p>
        </w:tc>
      </w:tr>
      <w:tr w:rsidR="00E10AF7" w:rsidRPr="000C7257" w:rsidTr="00B465E6">
        <w:trPr>
          <w:trHeight w:val="127"/>
        </w:trPr>
        <w:tc>
          <w:tcPr>
            <w:tcW w:w="6663" w:type="dxa"/>
            <w:tcBorders>
              <w:top w:val="nil"/>
              <w:left w:val="single" w:sz="4" w:space="0" w:color="auto"/>
              <w:bottom w:val="single" w:sz="4" w:space="0" w:color="auto"/>
              <w:right w:val="single" w:sz="4" w:space="0" w:color="auto"/>
            </w:tcBorders>
            <w:noWrap/>
            <w:vAlign w:val="bottom"/>
          </w:tcPr>
          <w:p w:rsidR="00E10AF7" w:rsidRPr="000C7257" w:rsidRDefault="00E10AF7" w:rsidP="00B465E6">
            <w:pPr>
              <w:spacing w:before="0" w:after="0" w:line="240" w:lineRule="auto"/>
              <w:ind w:left="0" w:right="-254" w:firstLine="0"/>
              <w:jc w:val="left"/>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Всього:</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545</w:t>
            </w:r>
          </w:p>
        </w:tc>
        <w:tc>
          <w:tcPr>
            <w:tcW w:w="1559" w:type="dxa"/>
            <w:tcBorders>
              <w:top w:val="nil"/>
              <w:left w:val="nil"/>
              <w:bottom w:val="single" w:sz="4" w:space="0" w:color="auto"/>
              <w:right w:val="single" w:sz="4" w:space="0" w:color="auto"/>
            </w:tcBorders>
            <w:noWrap/>
            <w:vAlign w:val="bottom"/>
          </w:tcPr>
          <w:p w:rsidR="00E10AF7" w:rsidRPr="000C7257" w:rsidRDefault="00E10AF7" w:rsidP="00B465E6">
            <w:pPr>
              <w:spacing w:before="0" w:after="0" w:line="240" w:lineRule="auto"/>
              <w:ind w:left="-98" w:right="34" w:firstLine="98"/>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934</w:t>
            </w:r>
          </w:p>
        </w:tc>
      </w:tr>
    </w:tbl>
    <w:p w:rsidR="00E10AF7" w:rsidRPr="00BC0011" w:rsidRDefault="00E10AF7" w:rsidP="00E10AF7">
      <w:pPr>
        <w:spacing w:before="120" w:after="0" w:line="240" w:lineRule="auto"/>
        <w:ind w:left="0" w:right="0" w:firstLine="0"/>
        <w:rPr>
          <w:rFonts w:ascii="Times New Roman" w:eastAsia="Times New Roman" w:hAnsi="Times New Roman" w:cs="Times New Roman"/>
          <w:color w:val="auto"/>
          <w:sz w:val="24"/>
          <w:szCs w:val="24"/>
          <w:lang w:eastAsia="ru-RU"/>
        </w:rPr>
      </w:pPr>
      <w:r w:rsidRPr="00BC0011">
        <w:rPr>
          <w:rFonts w:ascii="Times New Roman" w:eastAsia="Times New Roman" w:hAnsi="Times New Roman" w:cs="Times New Roman"/>
          <w:bCs/>
          <w:iCs/>
          <w:color w:val="auto"/>
          <w:sz w:val="24"/>
          <w:szCs w:val="24"/>
          <w:lang w:eastAsia="ru-RU"/>
        </w:rPr>
        <w:t xml:space="preserve">Дебіторську заборгованість наведено без нарахування резерву сумнівних боргів, тому що дебіторська заборгованість по виданим кредитам забезпечена заставою та вважається керівництвом Товариства відшкодованою. Уразі невиконання Позичальником своїх зобов`язань по Договору про надання фінансового кредиту у повному обсязі та у строк з 6-го дня прострочення (протягом п`яти днів предмет закладу зберігається в ломбарді). </w:t>
      </w:r>
      <w:proofErr w:type="spellStart"/>
      <w:r w:rsidRPr="00BC0011">
        <w:rPr>
          <w:rFonts w:ascii="Times New Roman" w:eastAsia="Times New Roman" w:hAnsi="Times New Roman" w:cs="Times New Roman"/>
          <w:bCs/>
          <w:iCs/>
          <w:color w:val="auto"/>
          <w:sz w:val="24"/>
          <w:szCs w:val="24"/>
          <w:lang w:eastAsia="ru-RU"/>
        </w:rPr>
        <w:t>Кредитодавець</w:t>
      </w:r>
      <w:proofErr w:type="spellEnd"/>
      <w:r w:rsidRPr="00BC0011">
        <w:rPr>
          <w:rFonts w:ascii="Times New Roman" w:eastAsia="Times New Roman" w:hAnsi="Times New Roman" w:cs="Times New Roman"/>
          <w:bCs/>
          <w:iCs/>
          <w:color w:val="auto"/>
          <w:sz w:val="24"/>
          <w:szCs w:val="24"/>
          <w:lang w:eastAsia="ru-RU"/>
        </w:rPr>
        <w:t xml:space="preserve"> може задовольнити свої вимоги шляхом реалізації предмету закладу.</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lastRenderedPageBreak/>
        <w:t>За строками виникнення на початок та на кінець звітного періоду вся дебіторська заборгованість не перевищує 3-х місяців</w:t>
      </w:r>
    </w:p>
    <w:p w:rsidR="00E10AF7" w:rsidRPr="000C7257" w:rsidRDefault="00E10AF7" w:rsidP="00E10AF7">
      <w:pPr>
        <w:keepNext/>
        <w:tabs>
          <w:tab w:val="left" w:pos="397"/>
        </w:tabs>
        <w:spacing w:before="120" w:after="0" w:line="240" w:lineRule="auto"/>
        <w:ind w:left="0" w:right="0" w:firstLine="0"/>
        <w:jc w:val="left"/>
        <w:outlineLvl w:val="1"/>
        <w:rPr>
          <w:rFonts w:ascii="Times New Roman" w:eastAsia="Times New Roman" w:hAnsi="Times New Roman" w:cs="Times New Roman"/>
          <w:b/>
          <w:bCs/>
          <w:i/>
          <w:iCs/>
          <w:caps/>
          <w:color w:val="000000"/>
          <w:sz w:val="22"/>
          <w:lang w:eastAsia="ru-RU"/>
        </w:rPr>
      </w:pPr>
      <w:r w:rsidRPr="000C7257">
        <w:rPr>
          <w:rFonts w:ascii="Times New Roman" w:eastAsia="Times New Roman" w:hAnsi="Times New Roman" w:cs="Times New Roman"/>
          <w:b/>
          <w:bCs/>
          <w:caps/>
          <w:color w:val="000000"/>
          <w:sz w:val="22"/>
          <w:lang w:eastAsia="ru-RU"/>
        </w:rPr>
        <w:t>5.1.4.</w:t>
      </w:r>
      <w:r w:rsidRPr="000C7257">
        <w:rPr>
          <w:rFonts w:ascii="Times New Roman" w:eastAsia="Times New Roman" w:hAnsi="Times New Roman" w:cs="Times New Roman"/>
          <w:b/>
          <w:bCs/>
          <w:caps/>
          <w:color w:val="000000"/>
          <w:sz w:val="22"/>
          <w:lang w:eastAsia="ru-RU"/>
        </w:rPr>
        <w:tab/>
        <w:t>Г</w:t>
      </w:r>
      <w:r w:rsidRPr="000C7257">
        <w:rPr>
          <w:rFonts w:ascii="Times New Roman" w:eastAsia="Times New Roman" w:hAnsi="Times New Roman" w:cs="Times New Roman"/>
          <w:b/>
          <w:bCs/>
          <w:color w:val="000000"/>
          <w:sz w:val="22"/>
          <w:lang w:eastAsia="ru-RU"/>
        </w:rPr>
        <w:t>рошові кошти та їх еквіваленти</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Станом на звітну дату, грошові кошти та їх еквіваленти включають готівку у касі та кошти на поточних рахунках банків. Грошових коштів, недоступних для використання немає.</w:t>
      </w:r>
    </w:p>
    <w:p w:rsidR="00E10AF7" w:rsidRPr="000C7257" w:rsidRDefault="00E10AF7" w:rsidP="00E10AF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2"/>
          <w:lang w:eastAsia="ru-RU"/>
        </w:rPr>
      </w:pPr>
      <w:r w:rsidRPr="000C7257">
        <w:rPr>
          <w:rFonts w:ascii="Times New Roman" w:eastAsia="Times New Roman" w:hAnsi="Times New Roman" w:cs="Times New Roman"/>
          <w:b/>
          <w:bCs/>
          <w:color w:val="000000"/>
          <w:sz w:val="22"/>
          <w:lang w:eastAsia="ru-RU"/>
        </w:rPr>
        <w:t>5.1.5.</w:t>
      </w:r>
      <w:r w:rsidRPr="000C7257">
        <w:rPr>
          <w:rFonts w:ascii="Times New Roman" w:eastAsia="Times New Roman" w:hAnsi="Times New Roman" w:cs="Times New Roman"/>
          <w:b/>
          <w:bCs/>
          <w:color w:val="000000"/>
          <w:sz w:val="22"/>
          <w:lang w:eastAsia="ru-RU"/>
        </w:rPr>
        <w:tab/>
        <w:t>Власний капітал</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Власний капітал товариства включає статутний капітал, капітал в дооцінках, резервний капітал та нерозподілений прибуток.</w:t>
      </w:r>
    </w:p>
    <w:p w:rsidR="00E10AF7" w:rsidRPr="00BC0011"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BC0011">
        <w:rPr>
          <w:rFonts w:ascii="Times New Roman" w:eastAsia="Times New Roman" w:hAnsi="Times New Roman" w:cs="Times New Roman"/>
          <w:bCs/>
          <w:iCs/>
          <w:color w:val="auto"/>
          <w:sz w:val="24"/>
          <w:szCs w:val="24"/>
          <w:lang w:eastAsia="ru-RU"/>
        </w:rPr>
        <w:t>У звітному періоді змін у зареєстрованому та сплаченому статутному капіталі не відбувалося.</w:t>
      </w:r>
    </w:p>
    <w:p w:rsidR="00E10AF7" w:rsidRPr="00BC0011"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BC0011">
        <w:rPr>
          <w:rFonts w:ascii="Times New Roman" w:eastAsia="Times New Roman" w:hAnsi="Times New Roman" w:cs="Times New Roman"/>
          <w:bCs/>
          <w:iCs/>
          <w:color w:val="auto"/>
          <w:sz w:val="24"/>
          <w:szCs w:val="24"/>
          <w:lang w:eastAsia="ru-RU"/>
        </w:rPr>
        <w:t>Прибуток минулих років не розподілявся, резервний капітал на покриття можливих збитків не створювався.</w:t>
      </w:r>
    </w:p>
    <w:p w:rsidR="00E10AF7" w:rsidRPr="00BC0011" w:rsidRDefault="00E10AF7" w:rsidP="00E10AF7">
      <w:pPr>
        <w:keepNext/>
        <w:tabs>
          <w:tab w:val="left" w:pos="397"/>
        </w:tabs>
        <w:spacing w:before="120" w:after="0" w:line="240" w:lineRule="auto"/>
        <w:ind w:left="0" w:right="0" w:firstLine="0"/>
        <w:outlineLvl w:val="1"/>
        <w:rPr>
          <w:rFonts w:ascii="Times New Roman" w:eastAsia="Times New Roman" w:hAnsi="Times New Roman" w:cs="Times New Roman"/>
          <w:b/>
          <w:bCs/>
          <w:caps/>
          <w:color w:val="000000"/>
          <w:sz w:val="22"/>
          <w:lang w:eastAsia="ru-RU"/>
        </w:rPr>
      </w:pPr>
      <w:r w:rsidRPr="00BC0011">
        <w:rPr>
          <w:rFonts w:ascii="Times New Roman" w:eastAsia="Times New Roman" w:hAnsi="Times New Roman" w:cs="Times New Roman"/>
          <w:b/>
          <w:i/>
          <w:iCs/>
          <w:caps/>
          <w:color w:val="000000"/>
          <w:sz w:val="24"/>
          <w:szCs w:val="24"/>
          <w:lang w:eastAsia="ru-RU"/>
        </w:rPr>
        <w:t>5.1.6.</w:t>
      </w:r>
      <w:bookmarkStart w:id="0" w:name="_Toc332024223"/>
      <w:r w:rsidRPr="00BC0011">
        <w:rPr>
          <w:rFonts w:ascii="Times New Roman" w:eastAsia="Times New Roman" w:hAnsi="Times New Roman" w:cs="Times New Roman"/>
          <w:b/>
          <w:bCs/>
          <w:color w:val="000000"/>
          <w:sz w:val="22"/>
          <w:lang w:eastAsia="ru-RU"/>
        </w:rPr>
        <w:t xml:space="preserve">Поточні зобов'язання </w:t>
      </w:r>
      <w:bookmarkEnd w:id="0"/>
      <w:r w:rsidRPr="00BC0011">
        <w:rPr>
          <w:rFonts w:ascii="Times New Roman" w:eastAsia="Times New Roman" w:hAnsi="Times New Roman" w:cs="Times New Roman"/>
          <w:b/>
          <w:bCs/>
          <w:color w:val="000000"/>
          <w:sz w:val="22"/>
          <w:lang w:eastAsia="ru-RU"/>
        </w:rPr>
        <w:t>і забезпечення</w:t>
      </w:r>
    </w:p>
    <w:p w:rsidR="00E10AF7" w:rsidRPr="00BC0011" w:rsidRDefault="00E10AF7" w:rsidP="00E10AF7">
      <w:pPr>
        <w:spacing w:before="0" w:after="120" w:line="240" w:lineRule="auto"/>
        <w:ind w:left="0" w:right="0" w:firstLine="0"/>
        <w:outlineLvl w:val="0"/>
        <w:rPr>
          <w:rFonts w:ascii="Times New Roman" w:eastAsia="Times New Roman" w:hAnsi="Times New Roman" w:cs="Times New Roman"/>
          <w:color w:val="000000"/>
          <w:sz w:val="24"/>
          <w:szCs w:val="24"/>
          <w:lang w:eastAsia="ru-RU"/>
        </w:rPr>
      </w:pPr>
      <w:r w:rsidRPr="00BC0011">
        <w:rPr>
          <w:rFonts w:ascii="Times New Roman" w:eastAsia="Times New Roman" w:hAnsi="Times New Roman" w:cs="Times New Roman"/>
          <w:bCs/>
          <w:iCs/>
          <w:color w:val="000000"/>
          <w:sz w:val="24"/>
          <w:szCs w:val="24"/>
          <w:lang w:eastAsia="ru-RU"/>
        </w:rPr>
        <w:t>Поточні зобов’язання товариства включають кредиторську заборгованість за розрахунками, наведеними у балансі, поточні забезпечення - резерв відпусток. Простроченої кредиторської заборгованості немає.</w:t>
      </w: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val="ru-RU" w:eastAsia="ru-RU"/>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5.2. ЗВІТ ПРО ФІНАНСОВІ РЕЗУЛЬТАТИ (ЗВІТ ПРО СУКУПНИЙ ДОХІД)</w:t>
      </w:r>
    </w:p>
    <w:p w:rsidR="00E10AF7" w:rsidRPr="000C7257" w:rsidRDefault="00E10AF7" w:rsidP="00E10AF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2"/>
          <w:lang w:eastAsia="ru-RU"/>
        </w:rPr>
      </w:pPr>
      <w:r w:rsidRPr="000C7257">
        <w:rPr>
          <w:rFonts w:ascii="Times New Roman" w:eastAsia="Times New Roman" w:hAnsi="Times New Roman" w:cs="Times New Roman"/>
          <w:b/>
          <w:bCs/>
          <w:color w:val="000000"/>
          <w:sz w:val="22"/>
          <w:lang w:eastAsia="ru-RU"/>
        </w:rPr>
        <w:t>5.2.1.</w:t>
      </w:r>
      <w:r w:rsidRPr="000C7257">
        <w:rPr>
          <w:rFonts w:ascii="Times New Roman" w:eastAsia="Times New Roman" w:hAnsi="Times New Roman" w:cs="Times New Roman"/>
          <w:b/>
          <w:bCs/>
          <w:color w:val="000000"/>
          <w:sz w:val="22"/>
          <w:lang w:eastAsia="ru-RU"/>
        </w:rPr>
        <w:tab/>
        <w:t>Чистий доход (виручка) від реалізації та собівартість</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6"/>
        <w:gridCol w:w="1383"/>
      </w:tblGrid>
      <w:tr w:rsidR="00E10AF7" w:rsidRPr="000C7257" w:rsidTr="00B465E6">
        <w:trPr>
          <w:trHeight w:val="227"/>
        </w:trPr>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Складові чистого доходу</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383"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2016р.</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Дохід від надання фінансових послуг</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1463</w:t>
            </w:r>
          </w:p>
        </w:tc>
        <w:tc>
          <w:tcPr>
            <w:tcW w:w="1383"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771</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Дохід від продажу заставного майна</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651</w:t>
            </w:r>
          </w:p>
        </w:tc>
        <w:tc>
          <w:tcPr>
            <w:tcW w:w="1383"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59</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Собівартість реалізації заставного майна</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(704)</w:t>
            </w:r>
          </w:p>
        </w:tc>
        <w:tc>
          <w:tcPr>
            <w:tcW w:w="1383"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(57)</w:t>
            </w:r>
          </w:p>
        </w:tc>
      </w:tr>
      <w:tr w:rsidR="00E10AF7" w:rsidRPr="000C7257" w:rsidTr="00B465E6">
        <w:trPr>
          <w:trHeight w:val="80"/>
        </w:trPr>
        <w:tc>
          <w:tcPr>
            <w:tcW w:w="6521" w:type="dxa"/>
            <w:noWrap/>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Чистий дохід</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1410</w:t>
            </w:r>
          </w:p>
        </w:tc>
        <w:tc>
          <w:tcPr>
            <w:tcW w:w="1383"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773</w:t>
            </w:r>
          </w:p>
        </w:tc>
      </w:tr>
    </w:tbl>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p>
    <w:p w:rsidR="00E10AF7" w:rsidRPr="000C7257" w:rsidRDefault="00E10AF7" w:rsidP="00E10AF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5.2.2. Інші операційні доходи</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1"/>
        <w:gridCol w:w="1388"/>
      </w:tblGrid>
      <w:tr w:rsidR="00E10AF7" w:rsidRPr="000C7257" w:rsidTr="00B465E6">
        <w:trPr>
          <w:trHeight w:val="227"/>
        </w:trPr>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FF0000"/>
                <w:sz w:val="20"/>
                <w:szCs w:val="20"/>
                <w:lang w:eastAsia="ru-RU"/>
              </w:rPr>
            </w:pPr>
          </w:p>
        </w:tc>
        <w:tc>
          <w:tcPr>
            <w:tcW w:w="127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388"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2016 р.</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Пені (неустойки) за несвоєчасне погашення кредиту</w:t>
            </w:r>
          </w:p>
        </w:tc>
        <w:tc>
          <w:tcPr>
            <w:tcW w:w="127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318</w:t>
            </w:r>
          </w:p>
        </w:tc>
        <w:tc>
          <w:tcPr>
            <w:tcW w:w="1388"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132</w:t>
            </w:r>
          </w:p>
        </w:tc>
      </w:tr>
    </w:tbl>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120" w:line="240" w:lineRule="auto"/>
        <w:ind w:left="0" w:right="0" w:firstLine="0"/>
        <w:rPr>
          <w:rFonts w:ascii="Times New Roman" w:eastAsia="Times New Roman" w:hAnsi="Times New Roman" w:cs="Times New Roman"/>
          <w:b/>
          <w:bCs/>
          <w:i/>
          <w:iCs/>
          <w:color w:val="FF0000"/>
          <w:sz w:val="24"/>
          <w:szCs w:val="24"/>
          <w:lang w:eastAsia="ru-RU"/>
        </w:rPr>
      </w:pPr>
    </w:p>
    <w:p w:rsidR="00E10AF7" w:rsidRPr="000C7257" w:rsidRDefault="00E10AF7" w:rsidP="00E10AF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t xml:space="preserve">5.2.3.Операційні витрати </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Операційні витрати Товариства складаються з адміністративних витрат та інших операційних витрат.</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6"/>
        <w:gridCol w:w="1417"/>
      </w:tblGrid>
      <w:tr w:rsidR="00E10AF7" w:rsidRPr="000C7257" w:rsidTr="00B465E6">
        <w:tc>
          <w:tcPr>
            <w:tcW w:w="6521" w:type="dxa"/>
          </w:tcPr>
          <w:p w:rsidR="00E10AF7" w:rsidRPr="000C7257" w:rsidRDefault="00E10AF7" w:rsidP="00B465E6">
            <w:pPr>
              <w:autoSpaceDE w:val="0"/>
              <w:autoSpaceDN w:val="0"/>
              <w:adjustRightInd w:val="0"/>
              <w:spacing w:before="0" w:after="0" w:line="240" w:lineRule="auto"/>
              <w:ind w:left="0" w:right="0" w:firstLine="0"/>
              <w:jc w:val="left"/>
              <w:rPr>
                <w:rFonts w:ascii="Times New Roman" w:eastAsia="Times New Roman" w:hAnsi="Times New Roman" w:cs="Times New Roman"/>
                <w:b/>
                <w:bCs/>
                <w:color w:val="000000"/>
                <w:sz w:val="20"/>
                <w:szCs w:val="20"/>
                <w:lang w:eastAsia="en-US"/>
              </w:rPr>
            </w:pPr>
            <w:r w:rsidRPr="000C7257">
              <w:rPr>
                <w:rFonts w:ascii="Times New Roman" w:eastAsia="Times New Roman" w:hAnsi="Times New Roman" w:cs="Times New Roman"/>
                <w:color w:val="000000"/>
                <w:sz w:val="20"/>
                <w:szCs w:val="20"/>
                <w:lang w:eastAsia="ru-RU"/>
              </w:rPr>
              <w:t>Адміністративні витрати включають:</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2016 р.</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Матеріальні витрати</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5</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40</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b/>
                <w:bCs/>
                <w:color w:val="000000"/>
                <w:sz w:val="20"/>
                <w:szCs w:val="20"/>
                <w:lang w:eastAsia="en-US"/>
              </w:rPr>
            </w:pPr>
            <w:r w:rsidRPr="000C7257">
              <w:rPr>
                <w:rFonts w:ascii="Times New Roman" w:eastAsia="Times New Roman" w:hAnsi="Times New Roman" w:cs="Times New Roman"/>
                <w:color w:val="000000"/>
                <w:sz w:val="20"/>
                <w:szCs w:val="20"/>
                <w:lang w:eastAsia="ru-RU"/>
              </w:rPr>
              <w:t xml:space="preserve">   Оплата праці</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766</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289</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Відрахування на соціальні заходи</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169</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64</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Амортизація необоротних активів</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63</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55</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Послуги оренди</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277</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266</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Послуги охорони</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33</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29</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Резерв відпусток</w:t>
            </w:r>
          </w:p>
        </w:tc>
        <w:tc>
          <w:tcPr>
            <w:tcW w:w="1276" w:type="dxa"/>
          </w:tcPr>
          <w:p w:rsidR="00E10AF7" w:rsidRPr="000C7257" w:rsidRDefault="00E10AF7" w:rsidP="00B465E6">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84</w:t>
            </w:r>
          </w:p>
        </w:tc>
        <w:tc>
          <w:tcPr>
            <w:tcW w:w="1417" w:type="dxa"/>
          </w:tcPr>
          <w:p w:rsidR="00E10AF7" w:rsidRPr="000C7257" w:rsidRDefault="00E10AF7" w:rsidP="00B465E6">
            <w:pPr>
              <w:tabs>
                <w:tab w:val="center" w:pos="654"/>
                <w:tab w:val="right" w:pos="1309"/>
              </w:tabs>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32</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Інші адміністративні витрати</w:t>
            </w:r>
          </w:p>
        </w:tc>
        <w:tc>
          <w:tcPr>
            <w:tcW w:w="1276" w:type="dxa"/>
          </w:tcPr>
          <w:p w:rsidR="00E10AF7" w:rsidRPr="000C7257" w:rsidRDefault="00E10AF7" w:rsidP="00B465E6">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88</w:t>
            </w:r>
          </w:p>
        </w:tc>
        <w:tc>
          <w:tcPr>
            <w:tcW w:w="1417" w:type="dxa"/>
          </w:tcPr>
          <w:p w:rsidR="00E10AF7" w:rsidRPr="000C7257" w:rsidRDefault="00E10AF7" w:rsidP="00B465E6">
            <w:pPr>
              <w:tabs>
                <w:tab w:val="center" w:pos="654"/>
                <w:tab w:val="right" w:pos="1309"/>
              </w:tabs>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40</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Всього адміністративних витрат</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1485</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815</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Інші операційні витрати включають:</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0C7257">
              <w:rPr>
                <w:rFonts w:ascii="Times New Roman" w:eastAsia="Times New Roman" w:hAnsi="Times New Roman" w:cs="Times New Roman"/>
                <w:b/>
                <w:bCs/>
                <w:color w:val="000000"/>
                <w:sz w:val="20"/>
                <w:szCs w:val="20"/>
                <w:lang w:eastAsia="ru-RU"/>
              </w:rPr>
              <w:t>2016 р.</w:t>
            </w:r>
          </w:p>
        </w:tc>
      </w:tr>
      <w:tr w:rsidR="00E10AF7" w:rsidRPr="000C7257" w:rsidTr="00B465E6">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 xml:space="preserve">   Нестачі і втрати від псування цінностей та безнадійні борги</w:t>
            </w:r>
          </w:p>
        </w:tc>
        <w:tc>
          <w:tcPr>
            <w:tcW w:w="1276"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val="en-US" w:eastAsia="ru-RU"/>
              </w:rPr>
            </w:pPr>
            <w:r w:rsidRPr="000C7257">
              <w:rPr>
                <w:rFonts w:ascii="Times New Roman" w:eastAsia="Times New Roman" w:hAnsi="Times New Roman" w:cs="Times New Roman"/>
                <w:color w:val="auto"/>
                <w:sz w:val="20"/>
                <w:szCs w:val="20"/>
                <w:lang w:eastAsia="ru-RU"/>
              </w:rPr>
              <w:t>11</w:t>
            </w:r>
            <w:r w:rsidRPr="000C7257">
              <w:rPr>
                <w:rFonts w:ascii="Times New Roman" w:eastAsia="Times New Roman" w:hAnsi="Times New Roman" w:cs="Times New Roman"/>
                <w:color w:val="auto"/>
                <w:sz w:val="20"/>
                <w:szCs w:val="20"/>
                <w:lang w:val="en-US" w:eastAsia="ru-RU"/>
              </w:rPr>
              <w:t>9</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4</w:t>
            </w:r>
          </w:p>
        </w:tc>
      </w:tr>
    </w:tbl>
    <w:p w:rsidR="00E10AF7" w:rsidRPr="000C7257" w:rsidRDefault="00E10AF7" w:rsidP="00E10AF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2"/>
          <w:lang w:eastAsia="ru-RU"/>
        </w:rPr>
      </w:pPr>
      <w:r w:rsidRPr="000C7257">
        <w:rPr>
          <w:rFonts w:ascii="Times New Roman" w:eastAsia="Times New Roman" w:hAnsi="Times New Roman" w:cs="Times New Roman"/>
          <w:b/>
          <w:bCs/>
          <w:color w:val="000000"/>
          <w:sz w:val="22"/>
          <w:lang w:eastAsia="ru-RU"/>
        </w:rPr>
        <w:t>5.2.4. Податок на прибуток</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Ставки оподаткування, які застосовувалися до Товариства протягом звітного періоду – 18%.</w:t>
      </w:r>
    </w:p>
    <w:p w:rsidR="00E10AF7" w:rsidRPr="000C7257" w:rsidRDefault="00E10AF7" w:rsidP="00E10AF7">
      <w:pPr>
        <w:spacing w:before="0" w:after="120" w:line="240" w:lineRule="auto"/>
        <w:ind w:left="0" w:right="0" w:firstLine="0"/>
        <w:rPr>
          <w:rFonts w:ascii="Times New Roman" w:eastAsia="Times New Roman" w:hAnsi="Times New Roman" w:cs="Times New Roman"/>
          <w:color w:val="FF0000"/>
          <w:sz w:val="24"/>
          <w:szCs w:val="24"/>
          <w:lang w:eastAsia="ru-RU"/>
        </w:rPr>
      </w:pPr>
      <w:r w:rsidRPr="000C7257">
        <w:rPr>
          <w:rFonts w:ascii="Times New Roman" w:eastAsia="Times New Roman" w:hAnsi="Times New Roman" w:cs="Times New Roman"/>
          <w:color w:val="000000"/>
          <w:sz w:val="24"/>
          <w:szCs w:val="24"/>
          <w:lang w:eastAsia="ru-RU"/>
        </w:rPr>
        <w:t>Витрати з податку на прибуток складаються виключено з поточного податку та становлять, відповідно</w:t>
      </w:r>
      <w:r w:rsidRPr="000C7257">
        <w:rPr>
          <w:rFonts w:ascii="Times New Roman" w:eastAsia="Times New Roman" w:hAnsi="Times New Roman" w:cs="Times New Roman"/>
          <w:color w:val="auto"/>
          <w:sz w:val="24"/>
          <w:szCs w:val="24"/>
          <w:lang w:eastAsia="ru-RU"/>
        </w:rPr>
        <w:t>, за 2017 рік 22 тис. грн.,</w:t>
      </w:r>
      <w:r w:rsidRPr="000C7257">
        <w:rPr>
          <w:rFonts w:ascii="Times New Roman" w:eastAsia="Times New Roman" w:hAnsi="Times New Roman" w:cs="Times New Roman"/>
          <w:color w:val="000000"/>
          <w:sz w:val="24"/>
          <w:szCs w:val="24"/>
          <w:lang w:eastAsia="ru-RU"/>
        </w:rPr>
        <w:t>за 2016 рік – 16 тис. грн.</w:t>
      </w:r>
    </w:p>
    <w:p w:rsidR="00E10AF7" w:rsidRDefault="00E10AF7" w:rsidP="00E10AF7">
      <w:pPr>
        <w:spacing w:before="0" w:after="120" w:line="240" w:lineRule="auto"/>
        <w:ind w:left="0" w:right="0" w:firstLine="0"/>
        <w:jc w:val="center"/>
        <w:outlineLvl w:val="0"/>
        <w:rPr>
          <w:rFonts w:ascii="Times New Roman" w:eastAsia="Times New Roman" w:hAnsi="Times New Roman" w:cs="Times New Roman"/>
          <w:b/>
          <w:bCs/>
          <w:i/>
          <w:iCs/>
          <w:color w:val="000000"/>
          <w:sz w:val="24"/>
          <w:szCs w:val="24"/>
          <w:lang w:eastAsia="ru-RU"/>
        </w:rPr>
      </w:pPr>
    </w:p>
    <w:p w:rsidR="00E10AF7" w:rsidRDefault="00E10AF7" w:rsidP="00E10AF7">
      <w:pPr>
        <w:spacing w:before="0" w:after="120" w:line="240" w:lineRule="auto"/>
        <w:ind w:left="0" w:right="0" w:firstLine="0"/>
        <w:jc w:val="center"/>
        <w:outlineLvl w:val="0"/>
        <w:rPr>
          <w:rFonts w:ascii="Times New Roman" w:eastAsia="Times New Roman" w:hAnsi="Times New Roman" w:cs="Times New Roman"/>
          <w:b/>
          <w:bCs/>
          <w:i/>
          <w:iCs/>
          <w:color w:val="000000"/>
          <w:sz w:val="24"/>
          <w:szCs w:val="24"/>
          <w:lang w:eastAsia="ru-RU"/>
        </w:rPr>
      </w:pPr>
    </w:p>
    <w:p w:rsidR="00E10AF7" w:rsidRDefault="00E10AF7" w:rsidP="00E10AF7">
      <w:pPr>
        <w:spacing w:before="0" w:after="120" w:line="240" w:lineRule="auto"/>
        <w:ind w:left="0" w:right="0" w:firstLine="0"/>
        <w:jc w:val="center"/>
        <w:outlineLvl w:val="0"/>
        <w:rPr>
          <w:rFonts w:ascii="Times New Roman" w:eastAsia="Times New Roman" w:hAnsi="Times New Roman" w:cs="Times New Roman"/>
          <w:b/>
          <w:bCs/>
          <w:i/>
          <w:iCs/>
          <w:color w:val="000000"/>
          <w:sz w:val="24"/>
          <w:szCs w:val="24"/>
          <w:lang w:eastAsia="ru-RU"/>
        </w:rPr>
      </w:pPr>
    </w:p>
    <w:p w:rsidR="00E10AF7" w:rsidRPr="000C7257" w:rsidRDefault="00E10AF7" w:rsidP="00E10AF7">
      <w:pPr>
        <w:spacing w:before="0"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i/>
          <w:iCs/>
          <w:color w:val="000000"/>
          <w:sz w:val="24"/>
          <w:szCs w:val="24"/>
          <w:lang w:eastAsia="ru-RU"/>
        </w:rPr>
        <w:lastRenderedPageBreak/>
        <w:t>5.3. ЗВІТ ПРО РУХ ГРОШОВИХ КОШТІВ</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Товариство складає Звіт про рух грошових коштів відповідно до МСФЗ 7 прямим методом, згідно з яким розкривається інформація про основні класи валових надходжень грошових коштів чи валових виплат грошових коштів.       </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Не грошові операції інвестиційної та фінансової діяльності не проводились.</w:t>
      </w:r>
    </w:p>
    <w:p w:rsidR="00E10AF7" w:rsidRPr="000C7257" w:rsidRDefault="00E10AF7" w:rsidP="00E10AF7">
      <w:pPr>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Залишку грошових коштів, недоступних до використання не має.</w:t>
      </w: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outlineLvl w:val="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b/>
          <w:bCs/>
          <w:i/>
          <w:iCs/>
          <w:color w:val="auto"/>
          <w:sz w:val="24"/>
          <w:szCs w:val="24"/>
          <w:lang w:eastAsia="ru-RU"/>
        </w:rPr>
        <w:t>5.3.1. До складу рядка 3095 «Інші надходження»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41"/>
        <w:gridCol w:w="1417"/>
      </w:tblGrid>
      <w:tr w:rsidR="00E10AF7" w:rsidRPr="000C7257" w:rsidTr="00B465E6">
        <w:trPr>
          <w:trHeight w:val="227"/>
        </w:trPr>
        <w:tc>
          <w:tcPr>
            <w:tcW w:w="6521" w:type="dxa"/>
          </w:tcPr>
          <w:p w:rsidR="00E10AF7" w:rsidRPr="000C7257" w:rsidRDefault="00E10AF7" w:rsidP="00B465E6">
            <w:pPr>
              <w:spacing w:before="0" w:after="0" w:line="240" w:lineRule="auto"/>
              <w:ind w:left="0" w:right="0" w:firstLine="0"/>
              <w:jc w:val="left"/>
              <w:rPr>
                <w:rFonts w:ascii="Times New Roman" w:eastAsia="Times New Roman" w:hAnsi="Times New Roman" w:cs="Times New Roman"/>
                <w:color w:val="auto"/>
                <w:sz w:val="20"/>
                <w:szCs w:val="20"/>
                <w:lang w:eastAsia="ru-RU"/>
              </w:rPr>
            </w:pP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2016 р.</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b/>
                <w:bCs/>
                <w:i/>
                <w:iCs/>
                <w:color w:val="auto"/>
                <w:sz w:val="20"/>
                <w:szCs w:val="20"/>
                <w:lang w:eastAsia="ru-RU"/>
              </w:rPr>
              <w:t>Фінансова допомога</w:t>
            </w: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383</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369</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b/>
                <w:bCs/>
                <w:i/>
                <w:iCs/>
                <w:color w:val="auto"/>
                <w:sz w:val="20"/>
                <w:szCs w:val="20"/>
                <w:lang w:eastAsia="ru-RU"/>
              </w:rPr>
              <w:t>Інші надходження</w:t>
            </w: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2</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b/>
                <w:bCs/>
                <w:i/>
                <w:iCs/>
                <w:color w:val="auto"/>
                <w:sz w:val="20"/>
                <w:szCs w:val="20"/>
                <w:lang w:eastAsia="ru-RU"/>
              </w:rPr>
              <w:t>Разом</w:t>
            </w: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385</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369</w:t>
            </w:r>
          </w:p>
        </w:tc>
      </w:tr>
    </w:tbl>
    <w:p w:rsidR="00E10AF7" w:rsidRPr="000C7257" w:rsidRDefault="00E10AF7" w:rsidP="00E10AF7">
      <w:pPr>
        <w:spacing w:before="0" w:after="0" w:line="240" w:lineRule="auto"/>
        <w:ind w:left="0" w:right="0" w:firstLine="0"/>
        <w:jc w:val="center"/>
        <w:rPr>
          <w:rFonts w:ascii="Times New Roman" w:eastAsia="Times New Roman" w:hAnsi="Times New Roman" w:cs="Times New Roman"/>
          <w:color w:val="FF0000"/>
          <w:sz w:val="24"/>
          <w:szCs w:val="24"/>
          <w:lang w:eastAsia="ru-RU"/>
        </w:rPr>
      </w:pPr>
    </w:p>
    <w:p w:rsidR="00E10AF7" w:rsidRPr="000C7257" w:rsidRDefault="00E10AF7" w:rsidP="00E10AF7">
      <w:pPr>
        <w:spacing w:before="0" w:after="0" w:line="240" w:lineRule="auto"/>
        <w:ind w:left="0" w:right="0" w:firstLine="0"/>
        <w:jc w:val="center"/>
        <w:outlineLvl w:val="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b/>
          <w:bCs/>
          <w:i/>
          <w:iCs/>
          <w:color w:val="auto"/>
          <w:sz w:val="24"/>
          <w:szCs w:val="24"/>
          <w:lang w:eastAsia="ru-RU"/>
        </w:rPr>
        <w:t>5.3.2. До складу рядка 3190 «Інші витрачання»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41"/>
        <w:gridCol w:w="1417"/>
      </w:tblGrid>
      <w:tr w:rsidR="00E10AF7" w:rsidRPr="000C7257" w:rsidTr="00B465E6">
        <w:trPr>
          <w:trHeight w:val="227"/>
        </w:trPr>
        <w:tc>
          <w:tcPr>
            <w:tcW w:w="652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2017 р.</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2016 р.</w:t>
            </w:r>
          </w:p>
        </w:tc>
      </w:tr>
      <w:tr w:rsidR="00E10AF7" w:rsidRPr="000C7257" w:rsidTr="00B465E6">
        <w:trPr>
          <w:trHeight w:val="227"/>
        </w:trPr>
        <w:tc>
          <w:tcPr>
            <w:tcW w:w="6521" w:type="dxa"/>
            <w:noWrap/>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b/>
                <w:bCs/>
                <w:i/>
                <w:iCs/>
                <w:color w:val="auto"/>
                <w:sz w:val="20"/>
                <w:szCs w:val="20"/>
                <w:lang w:eastAsia="ru-RU"/>
              </w:rPr>
              <w:t>Фінансова допомога</w:t>
            </w:r>
          </w:p>
        </w:tc>
        <w:tc>
          <w:tcPr>
            <w:tcW w:w="1241"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383</w:t>
            </w:r>
          </w:p>
        </w:tc>
        <w:tc>
          <w:tcPr>
            <w:tcW w:w="1417"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369</w:t>
            </w:r>
          </w:p>
        </w:tc>
      </w:tr>
      <w:tr w:rsidR="00E10AF7" w:rsidRPr="000C7257" w:rsidTr="00B465E6">
        <w:trPr>
          <w:trHeight w:val="281"/>
        </w:trPr>
        <w:tc>
          <w:tcPr>
            <w:tcW w:w="6521" w:type="dxa"/>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i/>
                <w:iCs/>
                <w:color w:val="auto"/>
                <w:sz w:val="20"/>
                <w:szCs w:val="20"/>
                <w:lang w:eastAsia="ru-RU"/>
              </w:rPr>
              <w:t>Банківські послуги, поштові витрати та інші</w:t>
            </w:r>
          </w:p>
        </w:tc>
        <w:tc>
          <w:tcPr>
            <w:tcW w:w="1241" w:type="dxa"/>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20</w:t>
            </w:r>
          </w:p>
        </w:tc>
        <w:tc>
          <w:tcPr>
            <w:tcW w:w="1417" w:type="dxa"/>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8</w:t>
            </w:r>
          </w:p>
        </w:tc>
      </w:tr>
      <w:tr w:rsidR="00E10AF7" w:rsidRPr="000C7257" w:rsidTr="00B465E6">
        <w:trPr>
          <w:trHeight w:val="281"/>
        </w:trPr>
        <w:tc>
          <w:tcPr>
            <w:tcW w:w="6521" w:type="dxa"/>
            <w:noWrap/>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Разом</w:t>
            </w:r>
          </w:p>
        </w:tc>
        <w:tc>
          <w:tcPr>
            <w:tcW w:w="1241" w:type="dxa"/>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403</w:t>
            </w:r>
          </w:p>
        </w:tc>
        <w:tc>
          <w:tcPr>
            <w:tcW w:w="1417" w:type="dxa"/>
            <w:vAlign w:val="bottom"/>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0C7257">
              <w:rPr>
                <w:rFonts w:ascii="Times New Roman" w:eastAsia="Times New Roman" w:hAnsi="Times New Roman" w:cs="Times New Roman"/>
                <w:b/>
                <w:bCs/>
                <w:color w:val="auto"/>
                <w:sz w:val="20"/>
                <w:szCs w:val="20"/>
                <w:lang w:eastAsia="ru-RU"/>
              </w:rPr>
              <w:t>377</w:t>
            </w:r>
          </w:p>
        </w:tc>
      </w:tr>
    </w:tbl>
    <w:p w:rsidR="00E10AF7" w:rsidRPr="000C7257" w:rsidRDefault="00E10AF7" w:rsidP="00E10AF7">
      <w:pPr>
        <w:spacing w:before="0" w:after="12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widowControl w:val="0"/>
        <w:spacing w:before="0" w:after="120" w:line="240" w:lineRule="auto"/>
        <w:ind w:left="0" w:right="23" w:firstLine="0"/>
        <w:jc w:val="center"/>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6.УМОВНІ І ДОГОВІРНІ ЗОБОВ’ЯЗАННЯ І ОПЕРАЦІЙНІ РИЗИКИ</w:t>
      </w:r>
    </w:p>
    <w:p w:rsidR="00E10AF7" w:rsidRPr="000C7257" w:rsidRDefault="00E10AF7" w:rsidP="00E10AF7">
      <w:pPr>
        <w:widowControl w:val="0"/>
        <w:spacing w:before="0" w:after="120" w:line="240" w:lineRule="auto"/>
        <w:ind w:left="0" w:right="23"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Товариство не має обумовлених нормативно-законодавчими актами або укладеними договорами зобов’язань, обумовлених настанням майбутніх подій, які потребують визнання у фінансовій звітності умовних зобов’язань або створення забезпечень.</w:t>
      </w:r>
    </w:p>
    <w:p w:rsidR="00E10AF7" w:rsidRPr="000C7257" w:rsidRDefault="00E10AF7" w:rsidP="00E10AF7">
      <w:pPr>
        <w:widowControl w:val="0"/>
        <w:spacing w:before="0" w:after="0" w:line="240" w:lineRule="auto"/>
        <w:ind w:left="23" w:right="0" w:firstLine="0"/>
        <w:outlineLvl w:val="0"/>
        <w:rPr>
          <w:rFonts w:ascii="Times New Roman" w:eastAsia="Times New Roman" w:hAnsi="Times New Roman" w:cs="Times New Roman"/>
          <w:i/>
          <w:iCs/>
          <w:color w:val="000000"/>
          <w:sz w:val="24"/>
          <w:szCs w:val="24"/>
          <w:lang w:eastAsia="ru-RU"/>
        </w:rPr>
      </w:pPr>
      <w:r w:rsidRPr="000C7257">
        <w:rPr>
          <w:rFonts w:ascii="Times New Roman" w:eastAsia="Times New Roman" w:hAnsi="Times New Roman" w:cs="Times New Roman"/>
          <w:color w:val="000000"/>
          <w:sz w:val="24"/>
          <w:szCs w:val="24"/>
          <w:lang w:eastAsia="ru-RU"/>
        </w:rPr>
        <w:t>Оподаткування</w:t>
      </w:r>
    </w:p>
    <w:p w:rsidR="00E10AF7" w:rsidRPr="000C7257" w:rsidRDefault="00E10AF7" w:rsidP="00E10AF7">
      <w:pPr>
        <w:widowControl w:val="0"/>
        <w:spacing w:before="0" w:after="120" w:line="240" w:lineRule="auto"/>
        <w:ind w:left="0" w:right="23"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На думку керівництва Товариство сплатило усі податки, тому фінансова звітність не містить резервів під податкові збитки. Проте внаслідок наявності в українському податковому законодавстві, положень, які дозволяють більш ніж один варіант тлумачення, а також через практику, що склалася в нестабільному економічному середовищі, за якої податкові органи довільно тлумачать аспекти економічної діяльності, у разі, якщо податкові ограни піддадуть сумніву певне тлумачення, засноване на оцінці керівництва економічної діяльності Товариства, ймовірно, що Товариство змушене буде сплатити додаткові податки, штрафи та </w:t>
      </w:r>
      <w:proofErr w:type="spellStart"/>
      <w:r w:rsidRPr="000C7257">
        <w:rPr>
          <w:rFonts w:ascii="Times New Roman" w:eastAsia="Times New Roman" w:hAnsi="Times New Roman" w:cs="Times New Roman"/>
          <w:color w:val="000000"/>
          <w:sz w:val="24"/>
          <w:szCs w:val="24"/>
          <w:lang w:eastAsia="ru-RU"/>
        </w:rPr>
        <w:t>пеніпротягом</w:t>
      </w:r>
      <w:proofErr w:type="spellEnd"/>
      <w:r w:rsidRPr="000C7257">
        <w:rPr>
          <w:rFonts w:ascii="Times New Roman" w:eastAsia="Times New Roman" w:hAnsi="Times New Roman" w:cs="Times New Roman"/>
          <w:color w:val="000000"/>
          <w:sz w:val="24"/>
          <w:szCs w:val="24"/>
          <w:lang w:eastAsia="ru-RU"/>
        </w:rPr>
        <w:t xml:space="preserve"> наступних трьох років.</w:t>
      </w:r>
    </w:p>
    <w:p w:rsidR="00E10AF7" w:rsidRPr="000C7257" w:rsidRDefault="00E10AF7" w:rsidP="00E10AF7">
      <w:pPr>
        <w:widowControl w:val="0"/>
        <w:spacing w:before="0" w:after="77" w:line="240" w:lineRule="exact"/>
        <w:ind w:left="0" w:right="0" w:firstLine="0"/>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color w:val="000000"/>
          <w:sz w:val="24"/>
          <w:szCs w:val="24"/>
          <w:lang w:eastAsia="ru-RU"/>
        </w:rPr>
        <w:t>Економічне середовище</w:t>
      </w:r>
    </w:p>
    <w:p w:rsidR="00E10AF7" w:rsidRPr="000C7257" w:rsidRDefault="00E10AF7" w:rsidP="00E10AF7">
      <w:pPr>
        <w:widowControl w:val="0"/>
        <w:spacing w:before="0" w:after="120" w:line="240" w:lineRule="auto"/>
        <w:ind w:left="0" w:right="0" w:firstLine="0"/>
        <w:rPr>
          <w:rFonts w:ascii="Times New Roman" w:eastAsia="Times New Roman" w:hAnsi="Times New Roman" w:cs="Times New Roman"/>
          <w:b/>
          <w:bCs/>
          <w:i/>
          <w:iCs/>
          <w:color w:val="auto"/>
          <w:sz w:val="24"/>
          <w:szCs w:val="24"/>
          <w:lang w:eastAsia="ru-RU"/>
        </w:rPr>
      </w:pPr>
      <w:r w:rsidRPr="000C7257">
        <w:rPr>
          <w:rFonts w:ascii="Times New Roman" w:eastAsia="Times New Roman" w:hAnsi="Times New Roman" w:cs="Times New Roman"/>
          <w:bCs/>
          <w:iCs/>
          <w:color w:val="000000"/>
          <w:sz w:val="24"/>
          <w:szCs w:val="24"/>
          <w:lang w:eastAsia="ru-RU"/>
        </w:rPr>
        <w:t xml:space="preserve">Внаслідок загального стану економічних та політичних умов в Україні Товариство функціонує в нестабільному середовищі. </w:t>
      </w:r>
      <w:r w:rsidRPr="000C7257">
        <w:rPr>
          <w:rFonts w:ascii="Times New Roman" w:eastAsia="Times New Roman" w:hAnsi="Times New Roman" w:cs="Times New Roman"/>
          <w:color w:val="000000"/>
          <w:sz w:val="24"/>
          <w:szCs w:val="24"/>
          <w:lang w:eastAsia="ru-RU"/>
        </w:rPr>
        <w:t xml:space="preserve">Товариство є небанківською фінансовою установою, тому має високу ступінь залежності від законодавчих та економічних обмежень. </w:t>
      </w:r>
      <w:r w:rsidRPr="000C7257">
        <w:rPr>
          <w:rFonts w:ascii="Times New Roman" w:eastAsia="Times New Roman" w:hAnsi="Times New Roman" w:cs="Times New Roman"/>
          <w:bCs/>
          <w:iCs/>
          <w:color w:val="000000"/>
          <w:sz w:val="24"/>
          <w:szCs w:val="24"/>
          <w:lang w:eastAsia="ru-RU"/>
        </w:rPr>
        <w:t xml:space="preserve">Стабільність та розвиток Товариства напряму залежить від платоспроможності та наявності джерел доходів широких верств населення. </w:t>
      </w:r>
      <w:r w:rsidRPr="000C7257">
        <w:rPr>
          <w:rFonts w:ascii="Times New Roman" w:eastAsia="Times New Roman" w:hAnsi="Times New Roman" w:cs="Times New Roman"/>
          <w:color w:val="auto"/>
          <w:sz w:val="24"/>
          <w:szCs w:val="24"/>
          <w:lang w:eastAsia="ru-RU"/>
        </w:rPr>
        <w:t xml:space="preserve">Внаслідок цього неможливо достовірно оцінити ефект впливу поточної економічної ситуації на фінансовий стан Товариства. </w:t>
      </w:r>
      <w:r w:rsidRPr="000C7257">
        <w:rPr>
          <w:rFonts w:ascii="Times New Roman" w:eastAsia="Times New Roman" w:hAnsi="Times New Roman" w:cs="Times New Roman"/>
          <w:bCs/>
          <w:iCs/>
          <w:color w:val="auto"/>
          <w:sz w:val="24"/>
          <w:szCs w:val="24"/>
          <w:lang w:eastAsia="ru-RU"/>
        </w:rPr>
        <w:t>В результаті виникає невизначеність, яка можливо може вплинути на майбутні операції, можливість відшкодування вартості активів Товариства та здатність Товариства обслуговувати і своєчасно погашати свої зобов’язання.</w:t>
      </w:r>
    </w:p>
    <w:p w:rsidR="00E10AF7" w:rsidRPr="000C7257" w:rsidRDefault="00E10AF7" w:rsidP="00E10AF7">
      <w:pPr>
        <w:widowControl w:val="0"/>
        <w:spacing w:before="0" w:after="120" w:line="240" w:lineRule="auto"/>
        <w:ind w:left="0" w:right="23"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Керівництво Товариства провело найкращу оцінку щодо можливості повернення та класифікації визнаних активів, а також повноти визнаних зобов'язань. Однак Товариство знаходиться під впливом нестабільності, вказаної вище.</w:t>
      </w:r>
    </w:p>
    <w:p w:rsidR="00E10AF7" w:rsidRPr="000C7257" w:rsidRDefault="00E10AF7" w:rsidP="00E10AF7">
      <w:pPr>
        <w:widowControl w:val="0"/>
        <w:tabs>
          <w:tab w:val="left" w:pos="369"/>
        </w:tabs>
        <w:spacing w:before="0" w:after="0" w:line="220" w:lineRule="exact"/>
        <w:ind w:left="20" w:right="0" w:firstLine="0"/>
        <w:jc w:val="center"/>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b/>
          <w:bCs/>
          <w:color w:val="000000"/>
          <w:sz w:val="24"/>
          <w:szCs w:val="24"/>
          <w:lang w:eastAsia="ru-RU"/>
        </w:rPr>
        <w:t>7. РОЗКРИТТЯ ІНФОРМАЦІЇ ПРО ПОВ’ЯЗАНІ СТОРОНИ</w:t>
      </w:r>
    </w:p>
    <w:p w:rsidR="00E10AF7" w:rsidRPr="000C7257" w:rsidRDefault="00E10AF7" w:rsidP="00E10AF7">
      <w:pPr>
        <w:widowControl w:val="0"/>
        <w:tabs>
          <w:tab w:val="left" w:pos="540"/>
        </w:tabs>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До пов’язаних сторін або операцій з пов’язаними сторонами належать: підприємства, які прямо або опосередковано контролюють або перебувають під контролем, або ж перебувають під спільним контролем разом з Товариством; асоційовані компанії; спільні підприємства, у яких Товариство є контролюючим учасником; члени провідного управлінського персоналу </w:t>
      </w:r>
      <w:r w:rsidRPr="000C7257">
        <w:rPr>
          <w:rFonts w:ascii="Times New Roman" w:eastAsia="Times New Roman" w:hAnsi="Times New Roman" w:cs="Times New Roman"/>
          <w:color w:val="000000"/>
          <w:sz w:val="24"/>
          <w:szCs w:val="24"/>
          <w:lang w:eastAsia="ru-RU"/>
        </w:rPr>
        <w:lastRenderedPageBreak/>
        <w:t>Товариства; близькі родичі засновників та управлінського персоналу Товариства; компанії, що контролюють Товариства, або здійснюють суттєвий вплив, або мають суттєвий відсоток голосів у Товаристві; програми виплат по закінченні трудової діяльності працівників Товариства або будь-якого іншого суб'єкта господарювання, який є пов'язаною стороною Товариства.</w:t>
      </w:r>
    </w:p>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 xml:space="preserve">З урахуванням фактичної структури власності пов’язаними сторонами Товариства є учасники, кінцеві </w:t>
      </w:r>
      <w:proofErr w:type="spellStart"/>
      <w:r w:rsidRPr="000C7257">
        <w:rPr>
          <w:rFonts w:ascii="Times New Roman" w:eastAsia="Times New Roman" w:hAnsi="Times New Roman" w:cs="Times New Roman"/>
          <w:color w:val="000000"/>
          <w:sz w:val="24"/>
          <w:szCs w:val="24"/>
          <w:lang w:eastAsia="ru-RU"/>
        </w:rPr>
        <w:t>бенефіціарні</w:t>
      </w:r>
      <w:proofErr w:type="spellEnd"/>
      <w:r w:rsidRPr="000C7257">
        <w:rPr>
          <w:rFonts w:ascii="Times New Roman" w:eastAsia="Times New Roman" w:hAnsi="Times New Roman" w:cs="Times New Roman"/>
          <w:color w:val="000000"/>
          <w:sz w:val="24"/>
          <w:szCs w:val="24"/>
          <w:lang w:eastAsia="ru-RU"/>
        </w:rPr>
        <w:t xml:space="preserve"> власники, та управлінський персонал, інформацію про яких наведено далі.</w:t>
      </w:r>
    </w:p>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5"/>
        <w:gridCol w:w="3520"/>
        <w:gridCol w:w="1793"/>
      </w:tblGrid>
      <w:tr w:rsidR="00E10AF7" w:rsidRPr="000C7257" w:rsidTr="00B465E6">
        <w:tc>
          <w:tcPr>
            <w:tcW w:w="4609" w:type="dxa"/>
          </w:tcPr>
          <w:p w:rsidR="00E10AF7" w:rsidRPr="000C7257" w:rsidRDefault="00E10AF7" w:rsidP="00B465E6">
            <w:pPr>
              <w:widowControl w:val="0"/>
              <w:spacing w:before="0" w:after="0" w:line="240" w:lineRule="auto"/>
              <w:ind w:left="0" w:right="0" w:firstLine="0"/>
              <w:rPr>
                <w:rFonts w:ascii="Times New Roman" w:eastAsia="Times New Roman" w:hAnsi="Times New Roman" w:cs="Times New Roman"/>
                <w:color w:val="000000"/>
                <w:sz w:val="20"/>
                <w:szCs w:val="20"/>
                <w:lang w:eastAsia="en-US"/>
              </w:rPr>
            </w:pPr>
            <w:r w:rsidRPr="000C7257">
              <w:rPr>
                <w:rFonts w:ascii="Times New Roman" w:eastAsia="Times New Roman" w:hAnsi="Times New Roman" w:cs="Times New Roman"/>
                <w:color w:val="000000"/>
                <w:sz w:val="20"/>
                <w:szCs w:val="20"/>
                <w:lang w:eastAsia="en-US"/>
              </w:rPr>
              <w:t>Найменування, ім’я</w:t>
            </w:r>
          </w:p>
        </w:tc>
        <w:tc>
          <w:tcPr>
            <w:tcW w:w="3543" w:type="dxa"/>
          </w:tcPr>
          <w:p w:rsidR="00E10AF7" w:rsidRPr="000C7257" w:rsidRDefault="00E10AF7" w:rsidP="00B465E6">
            <w:pPr>
              <w:widowControl w:val="0"/>
              <w:spacing w:before="0" w:after="0" w:line="240" w:lineRule="auto"/>
              <w:ind w:left="0" w:right="0" w:firstLine="0"/>
              <w:rPr>
                <w:rFonts w:ascii="Times New Roman" w:eastAsia="Times New Roman" w:hAnsi="Times New Roman" w:cs="Times New Roman"/>
                <w:color w:val="000000"/>
                <w:sz w:val="20"/>
                <w:szCs w:val="20"/>
                <w:lang w:eastAsia="en-US"/>
              </w:rPr>
            </w:pPr>
            <w:r w:rsidRPr="000C7257">
              <w:rPr>
                <w:rFonts w:ascii="Times New Roman" w:eastAsia="Times New Roman" w:hAnsi="Times New Roman" w:cs="Times New Roman"/>
                <w:color w:val="000000"/>
                <w:sz w:val="20"/>
                <w:szCs w:val="20"/>
                <w:lang w:eastAsia="en-US"/>
              </w:rPr>
              <w:t>Характер відносин</w:t>
            </w:r>
          </w:p>
        </w:tc>
        <w:tc>
          <w:tcPr>
            <w:tcW w:w="1795" w:type="dxa"/>
          </w:tcPr>
          <w:p w:rsidR="00E10AF7" w:rsidRPr="000C7257" w:rsidRDefault="00E10AF7" w:rsidP="00B465E6">
            <w:pPr>
              <w:widowControl w:val="0"/>
              <w:spacing w:before="0" w:after="0" w:line="240" w:lineRule="auto"/>
              <w:ind w:left="0" w:right="0" w:firstLine="0"/>
              <w:rPr>
                <w:rFonts w:ascii="Times New Roman" w:eastAsia="Times New Roman" w:hAnsi="Times New Roman" w:cs="Times New Roman"/>
                <w:color w:val="000000"/>
                <w:sz w:val="20"/>
                <w:szCs w:val="20"/>
                <w:lang w:eastAsia="en-US"/>
              </w:rPr>
            </w:pPr>
            <w:r w:rsidRPr="000C7257">
              <w:rPr>
                <w:rFonts w:ascii="Times New Roman" w:eastAsia="Times New Roman" w:hAnsi="Times New Roman" w:cs="Times New Roman"/>
                <w:color w:val="000000"/>
                <w:sz w:val="20"/>
                <w:szCs w:val="20"/>
                <w:lang w:eastAsia="en-US"/>
              </w:rPr>
              <w:t>Частка у зареєстрованому капіталі, %</w:t>
            </w:r>
          </w:p>
        </w:tc>
      </w:tr>
      <w:tr w:rsidR="00E10AF7" w:rsidRPr="000C7257" w:rsidTr="00B465E6">
        <w:tc>
          <w:tcPr>
            <w:tcW w:w="4609" w:type="dxa"/>
          </w:tcPr>
          <w:p w:rsidR="00E10AF7" w:rsidRPr="000C7257" w:rsidRDefault="00E10AF7" w:rsidP="00B465E6">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 xml:space="preserve">Наливайко Михайло Олександрович, Кінцевий </w:t>
            </w:r>
            <w:proofErr w:type="spellStart"/>
            <w:r w:rsidRPr="000C7257">
              <w:rPr>
                <w:rFonts w:ascii="Times New Roman" w:eastAsia="Times New Roman" w:hAnsi="Times New Roman" w:cs="Times New Roman"/>
                <w:color w:val="auto"/>
                <w:sz w:val="20"/>
                <w:szCs w:val="20"/>
                <w:lang w:eastAsia="en-US"/>
              </w:rPr>
              <w:t>бенефіціарний</w:t>
            </w:r>
            <w:proofErr w:type="spellEnd"/>
            <w:r w:rsidRPr="000C7257">
              <w:rPr>
                <w:rFonts w:ascii="Times New Roman" w:eastAsia="Times New Roman" w:hAnsi="Times New Roman" w:cs="Times New Roman"/>
                <w:color w:val="auto"/>
                <w:sz w:val="20"/>
                <w:szCs w:val="20"/>
                <w:lang w:eastAsia="en-US"/>
              </w:rPr>
              <w:t xml:space="preserve"> власник, директор</w:t>
            </w:r>
          </w:p>
        </w:tc>
        <w:tc>
          <w:tcPr>
            <w:tcW w:w="3543" w:type="dxa"/>
          </w:tcPr>
          <w:p w:rsidR="00E10AF7" w:rsidRPr="000C7257" w:rsidRDefault="00E10AF7" w:rsidP="00B465E6">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Відносини контролю, Провідний управлінський персонал</w:t>
            </w:r>
          </w:p>
        </w:tc>
        <w:tc>
          <w:tcPr>
            <w:tcW w:w="1795" w:type="dxa"/>
          </w:tcPr>
          <w:p w:rsidR="00E10AF7" w:rsidRPr="000C7257" w:rsidRDefault="00E10AF7" w:rsidP="00B465E6">
            <w:pPr>
              <w:widowControl w:val="0"/>
              <w:spacing w:before="0" w:after="0" w:line="240" w:lineRule="auto"/>
              <w:ind w:left="0" w:right="0" w:firstLine="0"/>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90,1</w:t>
            </w:r>
          </w:p>
        </w:tc>
      </w:tr>
      <w:tr w:rsidR="00E10AF7" w:rsidRPr="000C7257" w:rsidTr="00B465E6">
        <w:tc>
          <w:tcPr>
            <w:tcW w:w="4609" w:type="dxa"/>
          </w:tcPr>
          <w:p w:rsidR="00E10AF7" w:rsidRPr="000C7257" w:rsidRDefault="00E10AF7" w:rsidP="00B465E6">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 xml:space="preserve">Наливайко Василь Олександрович, Кінцевий </w:t>
            </w:r>
            <w:proofErr w:type="spellStart"/>
            <w:r w:rsidRPr="000C7257">
              <w:rPr>
                <w:rFonts w:ascii="Times New Roman" w:eastAsia="Times New Roman" w:hAnsi="Times New Roman" w:cs="Times New Roman"/>
                <w:color w:val="auto"/>
                <w:sz w:val="20"/>
                <w:szCs w:val="20"/>
                <w:lang w:eastAsia="en-US"/>
              </w:rPr>
              <w:t>бенефіціарний</w:t>
            </w:r>
            <w:proofErr w:type="spellEnd"/>
            <w:r w:rsidRPr="000C7257">
              <w:rPr>
                <w:rFonts w:ascii="Times New Roman" w:eastAsia="Times New Roman" w:hAnsi="Times New Roman" w:cs="Times New Roman"/>
                <w:color w:val="auto"/>
                <w:sz w:val="20"/>
                <w:szCs w:val="20"/>
                <w:lang w:eastAsia="en-US"/>
              </w:rPr>
              <w:t xml:space="preserve"> власник</w:t>
            </w:r>
          </w:p>
        </w:tc>
        <w:tc>
          <w:tcPr>
            <w:tcW w:w="3543" w:type="dxa"/>
          </w:tcPr>
          <w:p w:rsidR="00E10AF7" w:rsidRPr="000C7257" w:rsidRDefault="00E10AF7" w:rsidP="00B465E6">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Відносини контролю</w:t>
            </w:r>
          </w:p>
        </w:tc>
        <w:tc>
          <w:tcPr>
            <w:tcW w:w="1795" w:type="dxa"/>
          </w:tcPr>
          <w:p w:rsidR="00E10AF7" w:rsidRPr="000C7257" w:rsidRDefault="00E10AF7" w:rsidP="00B465E6">
            <w:pPr>
              <w:widowControl w:val="0"/>
              <w:spacing w:before="0" w:after="0" w:line="240" w:lineRule="auto"/>
              <w:ind w:left="0" w:right="0" w:firstLine="0"/>
              <w:rPr>
                <w:rFonts w:ascii="Times New Roman" w:eastAsia="Times New Roman" w:hAnsi="Times New Roman" w:cs="Times New Roman"/>
                <w:color w:val="auto"/>
                <w:sz w:val="20"/>
                <w:szCs w:val="20"/>
                <w:lang w:eastAsia="en-US"/>
              </w:rPr>
            </w:pPr>
            <w:r w:rsidRPr="000C7257">
              <w:rPr>
                <w:rFonts w:ascii="Times New Roman" w:eastAsia="Times New Roman" w:hAnsi="Times New Roman" w:cs="Times New Roman"/>
                <w:color w:val="auto"/>
                <w:sz w:val="20"/>
                <w:szCs w:val="20"/>
                <w:lang w:eastAsia="en-US"/>
              </w:rPr>
              <w:t>9,9</w:t>
            </w:r>
          </w:p>
        </w:tc>
      </w:tr>
    </w:tbl>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auto"/>
          <w:sz w:val="24"/>
          <w:szCs w:val="24"/>
          <w:lang w:eastAsia="ru-RU"/>
        </w:rPr>
      </w:pPr>
    </w:p>
    <w:p w:rsidR="00E10AF7" w:rsidRPr="000C7257" w:rsidRDefault="00E10AF7" w:rsidP="00E10AF7">
      <w:pPr>
        <w:spacing w:before="0" w:after="12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Протягом звітного періоду з пов’язаними особами здійснювалися операції з отримання та повернення фінансової допомоги. Дебіторської та кредиторської заборгованості з пов’язаними сторонами на кінець року не має.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90"/>
        <w:gridCol w:w="1549"/>
        <w:gridCol w:w="1549"/>
      </w:tblGrid>
      <w:tr w:rsidR="00E10AF7" w:rsidRPr="000C7257" w:rsidTr="00B465E6">
        <w:tc>
          <w:tcPr>
            <w:tcW w:w="6912" w:type="dxa"/>
            <w:vMerge w:val="restart"/>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0"/>
                <w:szCs w:val="20"/>
                <w:lang w:eastAsia="ru-RU"/>
              </w:rPr>
            </w:pPr>
          </w:p>
        </w:tc>
        <w:tc>
          <w:tcPr>
            <w:tcW w:w="3118" w:type="dxa"/>
            <w:gridSpan w:val="2"/>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Cs/>
                <w:color w:val="auto"/>
                <w:sz w:val="20"/>
                <w:szCs w:val="20"/>
                <w:lang w:eastAsia="ru-RU"/>
              </w:rPr>
            </w:pPr>
            <w:r w:rsidRPr="000C7257">
              <w:rPr>
                <w:rFonts w:ascii="Times New Roman" w:eastAsia="Times New Roman" w:hAnsi="Times New Roman" w:cs="Times New Roman"/>
                <w:bCs/>
                <w:color w:val="auto"/>
                <w:sz w:val="20"/>
                <w:szCs w:val="20"/>
                <w:lang w:eastAsia="ru-RU"/>
              </w:rPr>
              <w:t>За рік, що закінчився на дату</w:t>
            </w:r>
          </w:p>
        </w:tc>
      </w:tr>
      <w:tr w:rsidR="00E10AF7" w:rsidRPr="000C7257" w:rsidTr="00B465E6">
        <w:tc>
          <w:tcPr>
            <w:tcW w:w="6912" w:type="dxa"/>
            <w:vMerge/>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0"/>
                <w:szCs w:val="20"/>
                <w:lang w:eastAsia="ru-RU"/>
              </w:rPr>
            </w:pP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Cs/>
                <w:color w:val="auto"/>
                <w:sz w:val="20"/>
                <w:szCs w:val="20"/>
                <w:lang w:eastAsia="ru-RU"/>
              </w:rPr>
            </w:pPr>
            <w:r w:rsidRPr="000C7257">
              <w:rPr>
                <w:rFonts w:ascii="Times New Roman" w:eastAsia="Times New Roman" w:hAnsi="Times New Roman" w:cs="Times New Roman"/>
                <w:bCs/>
                <w:color w:val="auto"/>
                <w:sz w:val="20"/>
                <w:szCs w:val="20"/>
                <w:lang w:eastAsia="ru-RU"/>
              </w:rPr>
              <w:t>31.12.2017</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bCs/>
                <w:color w:val="000000"/>
                <w:sz w:val="20"/>
                <w:szCs w:val="20"/>
                <w:lang w:eastAsia="ru-RU"/>
              </w:rPr>
            </w:pPr>
            <w:r w:rsidRPr="000C7257">
              <w:rPr>
                <w:rFonts w:ascii="Times New Roman" w:eastAsia="Times New Roman" w:hAnsi="Times New Roman" w:cs="Times New Roman"/>
                <w:bCs/>
                <w:color w:val="000000"/>
                <w:sz w:val="20"/>
                <w:szCs w:val="20"/>
                <w:lang w:eastAsia="ru-RU"/>
              </w:rPr>
              <w:t>31.12.2016</w:t>
            </w:r>
          </w:p>
        </w:tc>
      </w:tr>
      <w:tr w:rsidR="00E10AF7" w:rsidRPr="000C7257" w:rsidTr="00B465E6">
        <w:tc>
          <w:tcPr>
            <w:tcW w:w="6912" w:type="dxa"/>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Надходження внесків до зареєстрованого капіталу</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320</w:t>
            </w:r>
          </w:p>
        </w:tc>
      </w:tr>
      <w:tr w:rsidR="00E10AF7" w:rsidRPr="000C7257" w:rsidTr="00B465E6">
        <w:tc>
          <w:tcPr>
            <w:tcW w:w="6912" w:type="dxa"/>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Отримання поворотної фінансової допомоги від пов’язаної сторони</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383</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369</w:t>
            </w:r>
          </w:p>
        </w:tc>
      </w:tr>
      <w:tr w:rsidR="00E10AF7" w:rsidRPr="000C7257" w:rsidTr="00B465E6">
        <w:tc>
          <w:tcPr>
            <w:tcW w:w="6912" w:type="dxa"/>
          </w:tcPr>
          <w:p w:rsidR="00E10AF7" w:rsidRPr="000C7257" w:rsidRDefault="00E10AF7" w:rsidP="00B465E6">
            <w:pPr>
              <w:spacing w:before="0" w:after="0" w:line="240" w:lineRule="auto"/>
              <w:ind w:left="0" w:right="0" w:firstLine="0"/>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Повернення фінансової допомоги пов’язаній стороні</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0C7257">
              <w:rPr>
                <w:rFonts w:ascii="Times New Roman" w:eastAsia="Times New Roman" w:hAnsi="Times New Roman" w:cs="Times New Roman"/>
                <w:color w:val="auto"/>
                <w:sz w:val="20"/>
                <w:szCs w:val="20"/>
                <w:lang w:eastAsia="ru-RU"/>
              </w:rPr>
              <w:t>383</w:t>
            </w:r>
          </w:p>
        </w:tc>
        <w:tc>
          <w:tcPr>
            <w:tcW w:w="1559" w:type="dxa"/>
          </w:tcPr>
          <w:p w:rsidR="00E10AF7" w:rsidRPr="000C7257" w:rsidRDefault="00E10AF7" w:rsidP="00B465E6">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0C7257">
              <w:rPr>
                <w:rFonts w:ascii="Times New Roman" w:eastAsia="Times New Roman" w:hAnsi="Times New Roman" w:cs="Times New Roman"/>
                <w:color w:val="000000"/>
                <w:sz w:val="20"/>
                <w:szCs w:val="20"/>
                <w:lang w:eastAsia="ru-RU"/>
              </w:rPr>
              <w:t>369</w:t>
            </w:r>
          </w:p>
        </w:tc>
      </w:tr>
    </w:tbl>
    <w:p w:rsidR="00E10AF7" w:rsidRPr="000C7257" w:rsidRDefault="00E10AF7" w:rsidP="00E10AF7">
      <w:pPr>
        <w:spacing w:before="120" w:after="120" w:line="240" w:lineRule="auto"/>
        <w:ind w:left="0" w:right="0" w:firstLine="0"/>
        <w:rPr>
          <w:rFonts w:ascii="Times New Roman" w:eastAsia="Times New Roman" w:hAnsi="Times New Roman" w:cs="Times New Roman"/>
          <w:strike/>
          <w:color w:val="auto"/>
          <w:sz w:val="24"/>
          <w:szCs w:val="24"/>
          <w:lang w:eastAsia="ru-RU"/>
        </w:rPr>
      </w:pPr>
      <w:r w:rsidRPr="000C7257">
        <w:rPr>
          <w:rFonts w:ascii="Times New Roman" w:eastAsia="Times New Roman" w:hAnsi="Times New Roman" w:cs="Times New Roman"/>
          <w:color w:val="000000"/>
          <w:sz w:val="24"/>
          <w:szCs w:val="24"/>
          <w:lang w:eastAsia="ru-RU"/>
        </w:rPr>
        <w:t xml:space="preserve">Протягом звітного періоду управлінському персоналу Товариства  нараховувалась і виплачувалась заробітна плата відповідно до встановленої системи оплати праці. Компенсації та інші додаткові виплати керівництву Товариства, іншому управлінському персоналу не здійснювались. Загальна сума виплат управлінському персоналу за 2017 рік </w:t>
      </w:r>
      <w:r w:rsidRPr="000C7257">
        <w:rPr>
          <w:rFonts w:ascii="Times New Roman" w:eastAsia="Times New Roman" w:hAnsi="Times New Roman" w:cs="Times New Roman"/>
          <w:color w:val="auto"/>
          <w:sz w:val="24"/>
          <w:szCs w:val="24"/>
          <w:lang w:eastAsia="ru-RU"/>
        </w:rPr>
        <w:t xml:space="preserve">з урахуванням </w:t>
      </w:r>
      <w:r w:rsidRPr="00894A5B">
        <w:rPr>
          <w:rFonts w:ascii="Times New Roman" w:eastAsia="Times New Roman" w:hAnsi="Times New Roman" w:cs="Times New Roman"/>
          <w:color w:val="auto"/>
          <w:sz w:val="24"/>
          <w:szCs w:val="24"/>
          <w:lang w:eastAsia="ru-RU"/>
        </w:rPr>
        <w:t>відрахувань на соціальні заходи склала 48 тис. грн. проти 24 тис. грн. у 2016 році.</w:t>
      </w:r>
      <w:bookmarkStart w:id="1" w:name="_GoBack"/>
      <w:bookmarkEnd w:id="1"/>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Поточної заборгованості за розрахунками з оплати праці старшому керівному персоналу на кінець звітного періоду немає.</w:t>
      </w:r>
    </w:p>
    <w:p w:rsidR="00E10AF7" w:rsidRPr="000C7257" w:rsidRDefault="00E10AF7" w:rsidP="00E10AF7">
      <w:pPr>
        <w:tabs>
          <w:tab w:val="left" w:pos="1276"/>
        </w:tabs>
        <w:spacing w:before="0" w:after="60" w:line="240" w:lineRule="auto"/>
        <w:ind w:left="0" w:right="0" w:firstLine="720"/>
        <w:jc w:val="center"/>
        <w:rPr>
          <w:rFonts w:ascii="Times New Roman" w:eastAsia="Times New Roman" w:hAnsi="Times New Roman" w:cs="Times New Roman"/>
          <w:b/>
          <w:bCs/>
          <w:color w:val="FF0000"/>
          <w:sz w:val="24"/>
          <w:szCs w:val="24"/>
          <w:lang w:eastAsia="ru-RU"/>
        </w:rPr>
      </w:pPr>
    </w:p>
    <w:p w:rsidR="00E10AF7" w:rsidRPr="000C7257" w:rsidRDefault="00E10AF7" w:rsidP="00E10AF7">
      <w:pPr>
        <w:tabs>
          <w:tab w:val="left" w:pos="1276"/>
        </w:tabs>
        <w:spacing w:before="0" w:after="60" w:line="240" w:lineRule="auto"/>
        <w:ind w:left="0" w:right="0" w:firstLine="720"/>
        <w:jc w:val="center"/>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8. ПЕРСОНАЛ ТА ОПЛАТА ПРАЦІ</w:t>
      </w:r>
    </w:p>
    <w:p w:rsidR="00E10AF7" w:rsidRPr="000C7257" w:rsidRDefault="00E10AF7" w:rsidP="00E10AF7">
      <w:pPr>
        <w:tabs>
          <w:tab w:val="left" w:pos="0"/>
        </w:tabs>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000000"/>
          <w:sz w:val="24"/>
          <w:szCs w:val="24"/>
          <w:lang w:eastAsia="ru-RU"/>
        </w:rPr>
        <w:t>Середньооблікова чисельність персоналу за звітний рік –</w:t>
      </w:r>
      <w:r w:rsidRPr="000C7257">
        <w:rPr>
          <w:rFonts w:ascii="Times New Roman" w:eastAsia="Times New Roman" w:hAnsi="Times New Roman" w:cs="Times New Roman"/>
          <w:color w:val="auto"/>
          <w:sz w:val="24"/>
          <w:szCs w:val="24"/>
          <w:lang w:eastAsia="ru-RU"/>
        </w:rPr>
        <w:t>21.</w:t>
      </w:r>
    </w:p>
    <w:p w:rsidR="00E10AF7" w:rsidRPr="000C7257" w:rsidRDefault="00E10AF7" w:rsidP="00E10AF7">
      <w:pPr>
        <w:tabs>
          <w:tab w:val="left" w:pos="0"/>
        </w:tabs>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Чисельність персоналу по категоріям: керівництво – 1, бухгалтерія – 3, приймальники –18.</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 xml:space="preserve">За звітний період </w:t>
      </w:r>
      <w:proofErr w:type="spellStart"/>
      <w:r w:rsidRPr="000C7257">
        <w:rPr>
          <w:rFonts w:ascii="Times New Roman" w:eastAsia="Times New Roman" w:hAnsi="Times New Roman" w:cs="Times New Roman"/>
          <w:color w:val="auto"/>
          <w:sz w:val="24"/>
          <w:szCs w:val="24"/>
          <w:lang w:eastAsia="ru-RU"/>
        </w:rPr>
        <w:t>нараховано</w:t>
      </w:r>
      <w:proofErr w:type="spellEnd"/>
      <w:r w:rsidRPr="000C7257">
        <w:rPr>
          <w:rFonts w:ascii="Times New Roman" w:eastAsia="Times New Roman" w:hAnsi="Times New Roman" w:cs="Times New Roman"/>
          <w:color w:val="auto"/>
          <w:sz w:val="24"/>
          <w:szCs w:val="24"/>
          <w:lang w:eastAsia="ru-RU"/>
        </w:rPr>
        <w:t xml:space="preserve"> витрат на персонал у вигляді заробітної плати та відрахувань на соціальні заходи у сумі 935 тис. грн. порівняно з 35</w:t>
      </w:r>
      <w:r w:rsidRPr="000C7257">
        <w:rPr>
          <w:rFonts w:ascii="Times New Roman" w:eastAsia="Times New Roman" w:hAnsi="Times New Roman" w:cs="Times New Roman"/>
          <w:color w:val="auto"/>
          <w:sz w:val="24"/>
          <w:szCs w:val="24"/>
          <w:lang w:val="ru-RU" w:eastAsia="ru-RU"/>
        </w:rPr>
        <w:t>3</w:t>
      </w:r>
      <w:r w:rsidRPr="000C7257">
        <w:rPr>
          <w:rFonts w:ascii="Times New Roman" w:eastAsia="Times New Roman" w:hAnsi="Times New Roman" w:cs="Times New Roman"/>
          <w:color w:val="auto"/>
          <w:sz w:val="24"/>
          <w:szCs w:val="24"/>
          <w:lang w:eastAsia="ru-RU"/>
        </w:rPr>
        <w:t xml:space="preserve"> тис. грн. у 2016 р.</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000000"/>
          <w:sz w:val="24"/>
          <w:szCs w:val="24"/>
          <w:lang w:eastAsia="ru-RU"/>
        </w:rPr>
        <w:t xml:space="preserve">За звітний період </w:t>
      </w:r>
      <w:proofErr w:type="spellStart"/>
      <w:r w:rsidRPr="000C7257">
        <w:rPr>
          <w:rFonts w:ascii="Times New Roman" w:eastAsia="Times New Roman" w:hAnsi="Times New Roman" w:cs="Times New Roman"/>
          <w:color w:val="000000"/>
          <w:sz w:val="24"/>
          <w:szCs w:val="24"/>
          <w:lang w:eastAsia="ru-RU"/>
        </w:rPr>
        <w:t>нараховано</w:t>
      </w:r>
      <w:proofErr w:type="spellEnd"/>
      <w:r w:rsidRPr="000C7257">
        <w:rPr>
          <w:rFonts w:ascii="Times New Roman" w:eastAsia="Times New Roman" w:hAnsi="Times New Roman" w:cs="Times New Roman"/>
          <w:color w:val="000000"/>
          <w:sz w:val="24"/>
          <w:szCs w:val="24"/>
          <w:lang w:eastAsia="ru-RU"/>
        </w:rPr>
        <w:t xml:space="preserve"> резерву відпусток </w:t>
      </w:r>
      <w:r w:rsidRPr="000C7257">
        <w:rPr>
          <w:rFonts w:ascii="Times New Roman" w:eastAsia="Times New Roman" w:hAnsi="Times New Roman" w:cs="Times New Roman"/>
          <w:color w:val="auto"/>
          <w:sz w:val="24"/>
          <w:szCs w:val="24"/>
          <w:lang w:eastAsia="ru-RU"/>
        </w:rPr>
        <w:t>84 тис. грн., використано резерву59 тис. грн.</w:t>
      </w:r>
    </w:p>
    <w:p w:rsidR="00E10AF7" w:rsidRPr="000C7257" w:rsidRDefault="00E10AF7" w:rsidP="00E10AF7">
      <w:pPr>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keepNext/>
        <w:tabs>
          <w:tab w:val="left" w:pos="397"/>
        </w:tabs>
        <w:spacing w:before="0" w:after="0" w:line="240" w:lineRule="auto"/>
        <w:ind w:left="540" w:right="0" w:firstLine="0"/>
        <w:jc w:val="center"/>
        <w:outlineLvl w:val="1"/>
        <w:rPr>
          <w:rFonts w:ascii="Times New Roman" w:eastAsia="Times New Roman" w:hAnsi="Times New Roman" w:cs="Times New Roman"/>
          <w:b/>
          <w:bCs/>
          <w:caps/>
          <w:color w:val="000000"/>
          <w:sz w:val="24"/>
          <w:szCs w:val="24"/>
          <w:lang w:eastAsia="ru-RU"/>
        </w:rPr>
      </w:pPr>
      <w:r w:rsidRPr="000C7257">
        <w:rPr>
          <w:rFonts w:ascii="Times New Roman" w:eastAsia="Times New Roman" w:hAnsi="Times New Roman" w:cs="Times New Roman"/>
          <w:b/>
          <w:bCs/>
          <w:caps/>
          <w:color w:val="000000"/>
          <w:sz w:val="24"/>
          <w:szCs w:val="24"/>
          <w:lang w:eastAsia="ru-RU"/>
        </w:rPr>
        <w:t>9. ЧИННИКИ ФІНАНСОВИХ РИЗИКІВ</w:t>
      </w:r>
    </w:p>
    <w:p w:rsidR="00E10AF7" w:rsidRPr="000C7257" w:rsidRDefault="00E10AF7" w:rsidP="00E10AF7">
      <w:pPr>
        <w:autoSpaceDE w:val="0"/>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В процесі своєї діяльності Товариство знаходиться під впливом різних фінансових ризиків. Товариство не вважає їх суттєвими через те, що позики надаються під заставу високоліквідного майна.</w:t>
      </w:r>
    </w:p>
    <w:p w:rsidR="00E10AF7" w:rsidRPr="000C7257" w:rsidRDefault="00E10AF7" w:rsidP="00E10AF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Загальна програма управління ризиками направлена на відстеження динаміки фінансового ринку України і зменшення його потенційного негативного впливу на результати діяльності Товариства.</w:t>
      </w:r>
    </w:p>
    <w:p w:rsidR="00E10AF7" w:rsidRPr="000C7257" w:rsidRDefault="00E10AF7" w:rsidP="00E10AF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Складовими фінансового ризику Товариства є ринковий ризик, кредитний ризик і ризик ліквідності.</w:t>
      </w:r>
    </w:p>
    <w:p w:rsidR="00E10AF7" w:rsidRPr="000C7257" w:rsidRDefault="00E10AF7" w:rsidP="00E10AF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Ринковий ризик виникає у зв’язку зі змінами вартості дорогоцінних металів. Проте, протягом останніх років спостерігається стійка тенденція до збільшення закупівельних цін на дорогоцінні метали.</w:t>
      </w:r>
    </w:p>
    <w:p w:rsidR="00E10AF7" w:rsidRPr="000C7257" w:rsidRDefault="00E10AF7" w:rsidP="00E10AF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lastRenderedPageBreak/>
        <w:t>Кредитний ризик - ризик неповернення ломбардних позик компенсується Товариством через забезпечення кредитів та процентів за користування кредитами заставою.</w:t>
      </w:r>
    </w:p>
    <w:p w:rsidR="00E10AF7" w:rsidRPr="000C7257" w:rsidRDefault="00E10AF7" w:rsidP="00E10AF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Ризик ліквідності – це ризик виникнення труднощів при виконанні фінансових зобов’язань. Товариство здійснює управління цим ризиком через підтримання достатньої кількості високоліквідних активів у грошових коштах та дорогоцінних металах для забезпечення своєчасного погашення своїх зобов’язань.</w:t>
      </w:r>
    </w:p>
    <w:p w:rsidR="00E10AF7" w:rsidRPr="000C7257" w:rsidRDefault="00E10AF7" w:rsidP="00E10AF7">
      <w:pPr>
        <w:keepNext/>
        <w:tabs>
          <w:tab w:val="num" w:pos="0"/>
        </w:tabs>
        <w:spacing w:before="0" w:after="0" w:line="240" w:lineRule="auto"/>
        <w:ind w:left="0" w:right="0" w:firstLine="0"/>
        <w:jc w:val="left"/>
        <w:outlineLvl w:val="2"/>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Управління капіталом</w:t>
      </w:r>
    </w:p>
    <w:p w:rsidR="00E10AF7" w:rsidRPr="000C7257" w:rsidRDefault="00E10AF7" w:rsidP="00E10AF7">
      <w:pPr>
        <w:autoSpaceDE w:val="0"/>
        <w:spacing w:before="0" w:after="0" w:line="240" w:lineRule="auto"/>
        <w:ind w:left="0" w:right="0" w:firstLine="0"/>
        <w:rPr>
          <w:rFonts w:ascii="Times New Roman" w:eastAsia="Times New Roman" w:hAnsi="Times New Roman" w:cs="Times New Roman"/>
          <w:color w:val="000000"/>
          <w:sz w:val="24"/>
          <w:szCs w:val="24"/>
          <w:lang w:eastAsia="ru-RU"/>
        </w:rPr>
      </w:pPr>
      <w:r w:rsidRPr="000C7257">
        <w:rPr>
          <w:rFonts w:ascii="Times New Roman" w:eastAsia="Times New Roman" w:hAnsi="Times New Roman" w:cs="Times New Roman"/>
          <w:color w:val="000000"/>
          <w:sz w:val="24"/>
          <w:szCs w:val="24"/>
          <w:lang w:eastAsia="ru-RU"/>
        </w:rPr>
        <w:t>Товариство розглядає позикові кошти і власний капітал як основні джерела формування фінансових ресурсів. Завданнями управління капіталом є: забезпечення здатності Товариства продовжувати функціонувати на безперервній основі, з метою отримання прибутків, а також забезпечення фінансування операційних потреб, капіталовкладень і стратегії розвитку Товариства. Політика Товариства по управлінню капіталом направлена на дотримання вимог до капіталу, встановлених регулятором; забезпечення і підтримку його оптимальної структури з метою зменшення сукупних витрат по залученню капіталу.</w:t>
      </w:r>
    </w:p>
    <w:p w:rsidR="00E10AF7" w:rsidRPr="000C7257" w:rsidRDefault="00E10AF7" w:rsidP="00E10AF7">
      <w:pPr>
        <w:widowControl w:val="0"/>
        <w:spacing w:before="0" w:after="0" w:line="240" w:lineRule="auto"/>
        <w:ind w:left="0" w:right="0" w:firstLine="0"/>
        <w:rPr>
          <w:rFonts w:ascii="Times New Roman" w:eastAsia="Times New Roman" w:hAnsi="Times New Roman" w:cs="Times New Roman"/>
          <w:color w:val="FF0000"/>
          <w:sz w:val="24"/>
          <w:szCs w:val="24"/>
          <w:lang w:eastAsia="ru-RU"/>
        </w:rPr>
      </w:pPr>
    </w:p>
    <w:p w:rsidR="00E10AF7" w:rsidRPr="000C7257" w:rsidRDefault="00E10AF7" w:rsidP="00E10AF7">
      <w:pPr>
        <w:spacing w:before="0" w:after="120" w:line="240" w:lineRule="auto"/>
        <w:ind w:left="0" w:right="0" w:firstLine="0"/>
        <w:jc w:val="center"/>
        <w:rPr>
          <w:rFonts w:ascii="Times New Roman" w:eastAsia="Times New Roman" w:hAnsi="Times New Roman" w:cs="Times New Roman"/>
          <w:b/>
          <w:bCs/>
          <w:color w:val="000000"/>
          <w:sz w:val="24"/>
          <w:szCs w:val="24"/>
          <w:lang w:eastAsia="ru-RU"/>
        </w:rPr>
      </w:pPr>
      <w:r w:rsidRPr="000C7257">
        <w:rPr>
          <w:rFonts w:ascii="Times New Roman" w:eastAsia="Times New Roman" w:hAnsi="Times New Roman" w:cs="Times New Roman"/>
          <w:b/>
          <w:bCs/>
          <w:color w:val="000000"/>
          <w:sz w:val="24"/>
          <w:szCs w:val="24"/>
          <w:lang w:eastAsia="ru-RU"/>
        </w:rPr>
        <w:t>10. ПОДІЇ ПІСЛЯ ЗАКІНЧЕННЯ ЗВІТНОГО ПЕРІОДУ</w:t>
      </w:r>
    </w:p>
    <w:p w:rsidR="00E10AF7" w:rsidRPr="000C7257" w:rsidRDefault="00E10AF7" w:rsidP="00E10AF7">
      <w:pPr>
        <w:spacing w:before="0" w:after="0" w:line="240" w:lineRule="auto"/>
        <w:ind w:left="0" w:right="0" w:firstLine="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Після закінчення звітного періоду у фінансово-господарській діяльності Товариства не відбулося суттєвих подій, які вимагали б коригування після звітного періоду сум, визнаних у фінансовій звітності, або визнання раніше не визнаних статей відповідно до вимог МСБО 10.</w:t>
      </w:r>
    </w:p>
    <w:p w:rsidR="00E10AF7" w:rsidRPr="000C7257" w:rsidRDefault="00E10AF7" w:rsidP="00E10AF7">
      <w:pPr>
        <w:widowControl w:val="0"/>
        <w:tabs>
          <w:tab w:val="left" w:pos="540"/>
          <w:tab w:val="left" w:pos="891"/>
        </w:tabs>
        <w:spacing w:before="0" w:after="0" w:line="297" w:lineRule="exact"/>
        <w:ind w:left="0" w:right="20" w:firstLine="0"/>
        <w:rPr>
          <w:rFonts w:ascii="Times New Roman" w:eastAsia="Times New Roman" w:hAnsi="Times New Roman" w:cs="Times New Roman"/>
          <w:color w:val="auto"/>
          <w:sz w:val="24"/>
          <w:szCs w:val="24"/>
          <w:lang w:eastAsia="ru-RU"/>
        </w:rPr>
      </w:pPr>
    </w:p>
    <w:p w:rsidR="00E10AF7" w:rsidRPr="000C7257" w:rsidRDefault="00E10AF7" w:rsidP="00E10AF7">
      <w:pPr>
        <w:widowControl w:val="0"/>
        <w:spacing w:before="0" w:after="0" w:line="297" w:lineRule="exact"/>
        <w:ind w:left="40" w:right="0" w:firstLine="0"/>
        <w:rPr>
          <w:rFonts w:ascii="Times New Roman" w:eastAsia="Times New Roman" w:hAnsi="Times New Roman" w:cs="Times New Roman"/>
          <w:color w:val="auto"/>
          <w:sz w:val="24"/>
          <w:szCs w:val="24"/>
          <w:lang w:eastAsia="ru-RU"/>
        </w:rPr>
      </w:pPr>
    </w:p>
    <w:p w:rsidR="00E10AF7" w:rsidRPr="000C7257" w:rsidRDefault="00E10AF7" w:rsidP="00E10AF7">
      <w:pPr>
        <w:spacing w:before="0" w:after="0" w:line="240" w:lineRule="auto"/>
        <w:ind w:left="0" w:right="0" w:firstLine="540"/>
        <w:jc w:val="left"/>
        <w:rPr>
          <w:rFonts w:ascii="Times New Roman" w:eastAsia="Times New Roman" w:hAnsi="Times New Roman" w:cs="Times New Roman"/>
          <w:color w:val="auto"/>
          <w:sz w:val="24"/>
          <w:szCs w:val="24"/>
          <w:lang w:eastAsia="ru-RU"/>
        </w:rPr>
      </w:pPr>
    </w:p>
    <w:p w:rsidR="00E10AF7" w:rsidRPr="000C7257" w:rsidRDefault="00E10AF7" w:rsidP="00E10AF7">
      <w:pPr>
        <w:spacing w:before="0" w:after="0" w:line="240" w:lineRule="auto"/>
        <w:ind w:left="0" w:right="0" w:firstLine="0"/>
        <w:jc w:val="left"/>
        <w:outlineLvl w:val="0"/>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ru-RU"/>
        </w:rPr>
        <w:t xml:space="preserve">Директор </w:t>
      </w:r>
    </w:p>
    <w:p w:rsidR="00E10AF7" w:rsidRPr="000C7257" w:rsidRDefault="00E10AF7" w:rsidP="00E10AF7">
      <w:pPr>
        <w:spacing w:before="0" w:after="0" w:line="240" w:lineRule="auto"/>
        <w:ind w:left="0" w:right="0" w:firstLine="0"/>
        <w:jc w:val="left"/>
        <w:rPr>
          <w:rFonts w:ascii="Times New Roman" w:eastAsia="Times New Roman" w:hAnsi="Times New Roman" w:cs="Times New Roman"/>
          <w:color w:val="auto"/>
          <w:sz w:val="24"/>
          <w:szCs w:val="24"/>
          <w:lang w:eastAsia="en-US"/>
        </w:rPr>
      </w:pPr>
      <w:proofErr w:type="spellStart"/>
      <w:r w:rsidRPr="000C7257">
        <w:rPr>
          <w:rFonts w:ascii="Times New Roman" w:eastAsia="Times New Roman" w:hAnsi="Times New Roman" w:cs="Times New Roman"/>
          <w:color w:val="auto"/>
          <w:sz w:val="24"/>
          <w:szCs w:val="24"/>
          <w:lang w:eastAsia="ru-RU"/>
        </w:rPr>
        <w:t>ПТ</w:t>
      </w:r>
      <w:proofErr w:type="spellEnd"/>
      <w:r w:rsidRPr="000C7257">
        <w:rPr>
          <w:rFonts w:ascii="Times New Roman" w:eastAsia="Times New Roman" w:hAnsi="Times New Roman" w:cs="Times New Roman"/>
          <w:color w:val="auto"/>
          <w:sz w:val="24"/>
          <w:szCs w:val="24"/>
          <w:lang w:eastAsia="ru-RU"/>
        </w:rPr>
        <w:t xml:space="preserve"> </w:t>
      </w:r>
      <w:r w:rsidRPr="000C7257">
        <w:rPr>
          <w:rFonts w:ascii="Times New Roman" w:eastAsia="Times New Roman" w:hAnsi="Times New Roman" w:cs="Times New Roman"/>
          <w:color w:val="auto"/>
          <w:sz w:val="24"/>
          <w:szCs w:val="24"/>
          <w:lang w:eastAsia="en-US"/>
        </w:rPr>
        <w:t>"ЛОМБАРД "НАЛИВАЙКО</w:t>
      </w:r>
    </w:p>
    <w:p w:rsidR="00E10AF7" w:rsidRPr="000C7257" w:rsidRDefault="00E10AF7" w:rsidP="00E10AF7">
      <w:pPr>
        <w:spacing w:before="0" w:after="0" w:line="240" w:lineRule="auto"/>
        <w:ind w:left="0" w:right="0" w:firstLine="0"/>
        <w:jc w:val="left"/>
        <w:rPr>
          <w:rFonts w:ascii="Times New Roman" w:eastAsia="Times New Roman" w:hAnsi="Times New Roman" w:cs="Times New Roman"/>
          <w:color w:val="auto"/>
          <w:sz w:val="24"/>
          <w:szCs w:val="24"/>
          <w:lang w:eastAsia="ru-RU"/>
        </w:rPr>
      </w:pPr>
      <w:r w:rsidRPr="000C7257">
        <w:rPr>
          <w:rFonts w:ascii="Times New Roman" w:eastAsia="Times New Roman" w:hAnsi="Times New Roman" w:cs="Times New Roman"/>
          <w:color w:val="auto"/>
          <w:sz w:val="24"/>
          <w:szCs w:val="24"/>
          <w:lang w:eastAsia="en-US"/>
        </w:rPr>
        <w:t>І КОМПАНІЯ"</w:t>
      </w:r>
      <w:r w:rsidRPr="000C7257">
        <w:rPr>
          <w:rFonts w:ascii="Times New Roman" w:eastAsia="Times New Roman" w:hAnsi="Times New Roman" w:cs="Times New Roman"/>
          <w:color w:val="auto"/>
          <w:sz w:val="24"/>
          <w:szCs w:val="24"/>
          <w:lang w:eastAsia="en-US"/>
        </w:rPr>
        <w:tab/>
      </w:r>
      <w:r w:rsidRPr="000C7257">
        <w:rPr>
          <w:rFonts w:ascii="Times New Roman" w:eastAsia="Times New Roman" w:hAnsi="Times New Roman" w:cs="Times New Roman"/>
          <w:color w:val="auto"/>
          <w:sz w:val="24"/>
          <w:szCs w:val="24"/>
          <w:lang w:eastAsia="en-US"/>
        </w:rPr>
        <w:tab/>
      </w:r>
      <w:r w:rsidRPr="000C7257">
        <w:rPr>
          <w:rFonts w:ascii="Times New Roman" w:eastAsia="Times New Roman" w:hAnsi="Times New Roman" w:cs="Times New Roman"/>
          <w:color w:val="auto"/>
          <w:sz w:val="24"/>
          <w:szCs w:val="24"/>
          <w:lang w:eastAsia="en-US"/>
        </w:rPr>
        <w:tab/>
      </w:r>
      <w:r w:rsidRPr="000C7257">
        <w:rPr>
          <w:rFonts w:ascii="Times New Roman" w:eastAsia="Times New Roman" w:hAnsi="Times New Roman" w:cs="Times New Roman"/>
          <w:color w:val="auto"/>
          <w:sz w:val="24"/>
          <w:szCs w:val="24"/>
          <w:lang w:eastAsia="en-US"/>
        </w:rPr>
        <w:tab/>
      </w:r>
      <w:r w:rsidRPr="000C7257">
        <w:rPr>
          <w:rFonts w:ascii="Times New Roman" w:eastAsia="Times New Roman" w:hAnsi="Times New Roman" w:cs="Times New Roman"/>
          <w:color w:val="auto"/>
          <w:sz w:val="24"/>
          <w:szCs w:val="24"/>
          <w:lang w:eastAsia="ru-RU"/>
        </w:rPr>
        <w:t>________________________ Наливайко М.О.</w:t>
      </w:r>
    </w:p>
    <w:p w:rsidR="00E10AF7" w:rsidRPr="000C7257" w:rsidRDefault="00E10AF7" w:rsidP="00E10AF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E10AF7" w:rsidRPr="000C7257" w:rsidRDefault="00E10AF7" w:rsidP="00E10AF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E10AF7" w:rsidRPr="000C7257" w:rsidRDefault="00E10AF7" w:rsidP="00E10AF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E10AF7" w:rsidRPr="000C7257" w:rsidRDefault="00E10AF7" w:rsidP="00E10AF7">
      <w:pPr>
        <w:spacing w:before="0" w:after="0" w:line="240" w:lineRule="auto"/>
        <w:ind w:left="0" w:right="0" w:firstLine="0"/>
        <w:jc w:val="left"/>
        <w:rPr>
          <w:rFonts w:ascii="Times New Roman" w:eastAsia="Times New Roman" w:hAnsi="Times New Roman" w:cs="Times New Roman"/>
          <w:b/>
          <w:bCs/>
          <w:color w:val="auto"/>
          <w:sz w:val="24"/>
          <w:szCs w:val="24"/>
          <w:u w:val="single"/>
          <w:lang w:eastAsia="ru-RU"/>
        </w:rPr>
      </w:pPr>
      <w:r w:rsidRPr="000C7257">
        <w:rPr>
          <w:rFonts w:ascii="Times New Roman" w:eastAsia="Times New Roman" w:hAnsi="Times New Roman" w:cs="Times New Roman"/>
          <w:color w:val="auto"/>
          <w:sz w:val="24"/>
          <w:szCs w:val="24"/>
          <w:lang w:eastAsia="ru-RU"/>
        </w:rPr>
        <w:t>Головний бухгалтер</w:t>
      </w:r>
      <w:r w:rsidRPr="000C7257">
        <w:rPr>
          <w:rFonts w:ascii="Times New Roman" w:eastAsia="Times New Roman" w:hAnsi="Times New Roman" w:cs="Times New Roman"/>
          <w:color w:val="auto"/>
          <w:sz w:val="24"/>
          <w:szCs w:val="24"/>
          <w:lang w:eastAsia="ru-RU"/>
        </w:rPr>
        <w:tab/>
      </w:r>
      <w:r w:rsidRPr="000C7257">
        <w:rPr>
          <w:rFonts w:ascii="Times New Roman" w:eastAsia="Times New Roman" w:hAnsi="Times New Roman" w:cs="Times New Roman"/>
          <w:color w:val="auto"/>
          <w:sz w:val="24"/>
          <w:szCs w:val="24"/>
          <w:lang w:eastAsia="ru-RU"/>
        </w:rPr>
        <w:tab/>
      </w:r>
      <w:r w:rsidRPr="000C7257">
        <w:rPr>
          <w:rFonts w:ascii="Times New Roman" w:eastAsia="Times New Roman" w:hAnsi="Times New Roman" w:cs="Times New Roman"/>
          <w:color w:val="auto"/>
          <w:sz w:val="24"/>
          <w:szCs w:val="24"/>
          <w:lang w:eastAsia="ru-RU"/>
        </w:rPr>
        <w:tab/>
      </w:r>
      <w:r w:rsidRPr="000C7257">
        <w:rPr>
          <w:rFonts w:ascii="Times New Roman" w:eastAsia="Times New Roman" w:hAnsi="Times New Roman" w:cs="Times New Roman"/>
          <w:color w:val="auto"/>
          <w:sz w:val="24"/>
          <w:szCs w:val="24"/>
          <w:lang w:eastAsia="ru-RU"/>
        </w:rPr>
        <w:tab/>
        <w:t xml:space="preserve">_________________________ </w:t>
      </w:r>
      <w:proofErr w:type="spellStart"/>
      <w:r w:rsidRPr="000C7257">
        <w:rPr>
          <w:rFonts w:ascii="Times New Roman" w:eastAsia="Times New Roman" w:hAnsi="Times New Roman" w:cs="Times New Roman"/>
          <w:color w:val="auto"/>
          <w:sz w:val="24"/>
          <w:szCs w:val="24"/>
          <w:lang w:eastAsia="ru-RU"/>
        </w:rPr>
        <w:t>Лісіцина</w:t>
      </w:r>
      <w:proofErr w:type="spellEnd"/>
      <w:r w:rsidRPr="000C7257">
        <w:rPr>
          <w:rFonts w:ascii="Times New Roman" w:eastAsia="Times New Roman" w:hAnsi="Times New Roman" w:cs="Times New Roman"/>
          <w:color w:val="auto"/>
          <w:sz w:val="24"/>
          <w:szCs w:val="24"/>
          <w:lang w:eastAsia="ru-RU"/>
        </w:rPr>
        <w:t xml:space="preserve"> О.В.</w:t>
      </w:r>
    </w:p>
    <w:p w:rsidR="00E10AF7" w:rsidRPr="000C7257" w:rsidRDefault="00E10AF7" w:rsidP="00E10AF7">
      <w:pPr>
        <w:spacing w:before="0" w:after="0" w:line="240" w:lineRule="auto"/>
        <w:ind w:left="0" w:right="0" w:firstLine="540"/>
        <w:jc w:val="left"/>
        <w:rPr>
          <w:rFonts w:ascii="Times New Roman" w:eastAsia="Times New Roman" w:hAnsi="Times New Roman" w:cs="Times New Roman"/>
          <w:color w:val="auto"/>
          <w:sz w:val="24"/>
          <w:szCs w:val="24"/>
          <w:lang w:eastAsia="ru-RU"/>
        </w:rPr>
      </w:pPr>
    </w:p>
    <w:p w:rsidR="00E10AF7" w:rsidRPr="000C7257" w:rsidRDefault="00E10AF7" w:rsidP="00E10AF7">
      <w:pPr>
        <w:spacing w:before="0" w:after="159" w:line="258" w:lineRule="auto"/>
        <w:ind w:left="0" w:right="-1" w:firstLine="0"/>
        <w:jc w:val="center"/>
        <w:rPr>
          <w:rFonts w:ascii="Times New Roman" w:hAnsi="Times New Roman" w:cs="Times New Roman"/>
          <w:b/>
          <w:sz w:val="24"/>
          <w:szCs w:val="24"/>
        </w:rPr>
      </w:pPr>
    </w:p>
    <w:p w:rsidR="000A1803" w:rsidRDefault="000A1803"/>
    <w:sectPr w:rsidR="000A1803" w:rsidSect="00EA6B8A">
      <w:pgSz w:w="11906" w:h="16838"/>
      <w:pgMar w:top="993"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B181A"/>
    <w:multiLevelType w:val="hybridMultilevel"/>
    <w:tmpl w:val="A3DA6BB4"/>
    <w:lvl w:ilvl="0" w:tplc="AB5A1E0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795D367F"/>
    <w:multiLevelType w:val="hybridMultilevel"/>
    <w:tmpl w:val="51127772"/>
    <w:lvl w:ilvl="0" w:tplc="ACACE1C2">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10AF7"/>
    <w:rsid w:val="000A1803"/>
    <w:rsid w:val="00E10AF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AF7"/>
    <w:pPr>
      <w:spacing w:before="312" w:after="3" w:line="259" w:lineRule="auto"/>
      <w:ind w:left="2453" w:right="4531" w:firstLine="217"/>
      <w:jc w:val="both"/>
    </w:pPr>
    <w:rPr>
      <w:rFonts w:ascii="Arial" w:eastAsia="Arial" w:hAnsi="Arial" w:cs="Arial"/>
      <w:color w:val="181717"/>
      <w:sz w:val="13"/>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18356</Words>
  <Characters>10463</Characters>
  <Application>Microsoft Office Word</Application>
  <DocSecurity>0</DocSecurity>
  <Lines>87</Lines>
  <Paragraphs>57</Paragraphs>
  <ScaleCrop>false</ScaleCrop>
  <Company>Reanimator Extreme Edition</Company>
  <LinksUpToDate>false</LinksUpToDate>
  <CharactersWithSpaces>28762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2018-03-27T09:34:00Z</dcterms:created>
  <dcterms:modified xsi:type="dcterms:W3CDTF">2018-03-27T09:35:00Z</dcterms:modified>
</cp:coreProperties>
</file>